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BF" w:rsidRDefault="003E0F20" w:rsidP="00291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嵊州市人民医院</w:t>
      </w:r>
      <w:r w:rsidR="007251B4">
        <w:rPr>
          <w:rFonts w:hint="eastAsia"/>
          <w:sz w:val="32"/>
          <w:szCs w:val="32"/>
        </w:rPr>
        <w:t>医务综合管理平台</w:t>
      </w:r>
      <w:r w:rsidR="008A777C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采购公告</w:t>
      </w:r>
    </w:p>
    <w:p w:rsidR="003516BF" w:rsidRDefault="003516BF">
      <w:pPr>
        <w:spacing w:line="360" w:lineRule="auto"/>
        <w:jc w:val="center"/>
        <w:rPr>
          <w:sz w:val="15"/>
          <w:szCs w:val="15"/>
        </w:rPr>
      </w:pPr>
    </w:p>
    <w:p w:rsidR="003516BF" w:rsidRDefault="003E0F2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 w:rsidR="008A777C" w:rsidRPr="008A777C">
        <w:rPr>
          <w:rFonts w:ascii="宋体" w:eastAsia="宋体" w:hAnsi="宋体" w:cs="宋体" w:hint="eastAsia"/>
          <w:sz w:val="24"/>
        </w:rPr>
        <w:t>嵊州市人民医院医务综合管理平台项目</w:t>
      </w:r>
    </w:p>
    <w:p w:rsidR="00B7439B" w:rsidRDefault="003E0F20" w:rsidP="00B7439B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B7439B">
        <w:rPr>
          <w:rFonts w:ascii="宋体" w:eastAsia="宋体" w:hAnsi="宋体" w:cs="宋体" w:hint="eastAsia"/>
          <w:sz w:val="24"/>
        </w:rPr>
        <w:t>采购内容：</w:t>
      </w:r>
      <w:r w:rsidR="00B7439B" w:rsidRPr="008A777C">
        <w:rPr>
          <w:rFonts w:ascii="宋体" w:eastAsia="宋体" w:hAnsi="宋体" w:cs="宋体" w:hint="eastAsia"/>
          <w:sz w:val="24"/>
        </w:rPr>
        <w:t>嵊州市人民医院医务综合管理平台项目</w:t>
      </w:r>
    </w:p>
    <w:p w:rsidR="0003403F" w:rsidRPr="0003403F" w:rsidRDefault="0003403F" w:rsidP="0003403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项目预算：19万元。</w:t>
      </w:r>
    </w:p>
    <w:p w:rsidR="003516BF" w:rsidRDefault="003E0F20" w:rsidP="00B7439B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B7439B">
        <w:rPr>
          <w:rFonts w:ascii="宋体" w:eastAsia="宋体" w:hAnsi="宋体" w:cs="宋体" w:hint="eastAsia"/>
          <w:sz w:val="24"/>
        </w:rPr>
        <w:t>参数要求</w:t>
      </w:r>
    </w:p>
    <w:p w:rsidR="0003403F" w:rsidRDefault="0003403F" w:rsidP="0003403F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根据医院要求采购医务综合管理系统一套，功能要求如下：</w:t>
      </w:r>
    </w:p>
    <w:p w:rsidR="00AC7A60" w:rsidRPr="00EF1A45" w:rsidRDefault="00EF1A45" w:rsidP="00AC7A6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</w:t>
      </w:r>
      <w:r w:rsidR="00AC7A60" w:rsidRPr="00EF1A45">
        <w:rPr>
          <w:rFonts w:ascii="宋体" w:eastAsia="宋体" w:hAnsi="宋体" w:cs="宋体" w:hint="eastAsia"/>
          <w:b/>
          <w:bCs/>
          <w:sz w:val="24"/>
        </w:rPr>
        <w:t>医务人员技术档案管理模块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1.人员基础信息管理模块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2.工作经历管理模块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3. 学历教育经历管理模块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4. 职称评聘管理模块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5.资格证书管理模块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6. 代表性学术论文管理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7. 专著教材管理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8. 科研情况管理模块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9. 新技术新项目管理模块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10. 培训情况管理模块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11. 考核情况管理模块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12. 重大医疗活动管理模块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13. 技术竞赛管理模块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14. 医疗纠纷投诉管理模块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15. 外出进修学习管理模块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16. 医疗技术授权情况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17. 各项荣誉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18. 社会任职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19. 重要学术活动管理模块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20. 档案审核模块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21. 档案汇总模块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22. 档案分析模块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23. 权限设置管理模块</w:t>
      </w:r>
    </w:p>
    <w:p w:rsidR="00AC7A60" w:rsidRPr="00EF1A45" w:rsidRDefault="00AC7A60" w:rsidP="00EF1A45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EF1A45">
        <w:rPr>
          <w:rFonts w:ascii="宋体" w:eastAsia="宋体" w:hAnsi="宋体" w:cs="宋体" w:hint="eastAsia"/>
          <w:sz w:val="24"/>
        </w:rPr>
        <w:t>24. 积分功能</w:t>
      </w:r>
    </w:p>
    <w:p w:rsidR="00AC7A60" w:rsidRPr="000457FB" w:rsidRDefault="00FC3D00" w:rsidP="00AC7A6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（二）</w:t>
      </w:r>
      <w:r w:rsidR="00AC7A60" w:rsidRPr="000457FB">
        <w:rPr>
          <w:rFonts w:ascii="宋体" w:eastAsia="宋体" w:hAnsi="宋体" w:cs="宋体" w:hint="eastAsia"/>
          <w:b/>
          <w:bCs/>
          <w:sz w:val="24"/>
        </w:rPr>
        <w:t>技术授权管理模块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1.医院新技术管理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2. 新技术转成熟技术管理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lastRenderedPageBreak/>
        <w:t>3. 限制性医疗技术管理（高风险诊疗项目管理）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4. 非限制性医疗技术（常规诊疗项目管理）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5. 各类技术分类管理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6. 医疗技术目录库管理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7. 新技术授权设置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8. 技术审批设置管理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9. 手术授权管理</w:t>
      </w:r>
    </w:p>
    <w:p w:rsidR="00AC7A60" w:rsidRPr="000457FB" w:rsidRDefault="00AC7A60" w:rsidP="000457FB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0457FB">
        <w:rPr>
          <w:rFonts w:ascii="宋体" w:eastAsia="宋体" w:hAnsi="宋体" w:cs="宋体" w:hint="eastAsia"/>
          <w:sz w:val="24"/>
        </w:rPr>
        <w:t>10. 手术目录库</w:t>
      </w:r>
    </w:p>
    <w:p w:rsidR="00AC7A60" w:rsidRPr="000457FB" w:rsidRDefault="00FC3D00" w:rsidP="00AC7A6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（三）</w:t>
      </w:r>
      <w:r w:rsidR="00AC7A60" w:rsidRPr="000457FB">
        <w:rPr>
          <w:rFonts w:ascii="宋体" w:eastAsia="宋体" w:hAnsi="宋体" w:cs="宋体"/>
          <w:b/>
          <w:bCs/>
          <w:sz w:val="24"/>
        </w:rPr>
        <w:t>医务管理模块</w:t>
      </w:r>
    </w:p>
    <w:p w:rsidR="00AC7A60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1.</w:t>
      </w:r>
      <w:r w:rsidR="00AC7A60" w:rsidRPr="00897BDF">
        <w:rPr>
          <w:rFonts w:ascii="宋体" w:eastAsia="宋体" w:hAnsi="宋体" w:cs="宋体" w:hint="eastAsia"/>
          <w:sz w:val="24"/>
        </w:rPr>
        <w:t>医务上报管理</w:t>
      </w:r>
    </w:p>
    <w:p w:rsidR="00AC7A60" w:rsidRPr="00897BDF" w:rsidRDefault="00AC7A60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2</w:t>
      </w:r>
      <w:r w:rsidRPr="00897BDF">
        <w:rPr>
          <w:rFonts w:ascii="宋体" w:eastAsia="宋体" w:hAnsi="宋体" w:cs="宋体"/>
          <w:sz w:val="24"/>
        </w:rPr>
        <w:t>.病历检查管理</w:t>
      </w:r>
    </w:p>
    <w:p w:rsidR="00AC7A60" w:rsidRPr="00897BDF" w:rsidRDefault="00AC7A60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3</w:t>
      </w:r>
      <w:r w:rsidRPr="00897BDF">
        <w:rPr>
          <w:rFonts w:ascii="宋体" w:eastAsia="宋体" w:hAnsi="宋体" w:cs="宋体"/>
          <w:sz w:val="24"/>
        </w:rPr>
        <w:t>.年度考核指标</w:t>
      </w:r>
    </w:p>
    <w:p w:rsidR="00AC7A60" w:rsidRPr="00897BDF" w:rsidRDefault="00AC7A60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4</w:t>
      </w:r>
      <w:r w:rsidRPr="00897BDF">
        <w:rPr>
          <w:rFonts w:ascii="宋体" w:eastAsia="宋体" w:hAnsi="宋体" w:cs="宋体"/>
          <w:sz w:val="24"/>
        </w:rPr>
        <w:t>.排</w:t>
      </w:r>
      <w:r w:rsidRPr="00897BDF">
        <w:rPr>
          <w:rFonts w:ascii="宋体" w:eastAsia="宋体" w:hAnsi="宋体" w:cs="宋体" w:hint="eastAsia"/>
          <w:sz w:val="24"/>
        </w:rPr>
        <w:t>班</w:t>
      </w:r>
      <w:r w:rsidRPr="00897BDF">
        <w:rPr>
          <w:rFonts w:ascii="宋体" w:eastAsia="宋体" w:hAnsi="宋体" w:cs="宋体"/>
          <w:sz w:val="24"/>
        </w:rPr>
        <w:t>管理</w:t>
      </w:r>
    </w:p>
    <w:p w:rsidR="00AC7A60" w:rsidRPr="000457FB" w:rsidRDefault="00FC3D00" w:rsidP="000457F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（四）</w:t>
      </w:r>
      <w:r w:rsidR="00272033" w:rsidRPr="000457FB">
        <w:rPr>
          <w:rFonts w:ascii="宋体" w:eastAsia="宋体" w:hAnsi="宋体" w:cs="宋体" w:hint="eastAsia"/>
          <w:b/>
          <w:bCs/>
          <w:sz w:val="24"/>
        </w:rPr>
        <w:t>纠纷投诉管理模块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投诉基本信息管理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2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案件事项记录管理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3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科室反馈记录管理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4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院内讨论记录管理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5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医患沟通记录管理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6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第三方调解记录管理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7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鉴定记录管理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8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处理结果记录管理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9</w:t>
      </w:r>
      <w:r w:rsidRPr="00897BDF">
        <w:rPr>
          <w:rFonts w:ascii="宋体" w:eastAsia="宋体" w:hAnsi="宋体" w:cs="宋体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分析整改记录管理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</w:t>
      </w:r>
      <w:r w:rsidRPr="00897BDF">
        <w:rPr>
          <w:rFonts w:ascii="宋体" w:eastAsia="宋体" w:hAnsi="宋体" w:cs="宋体"/>
          <w:sz w:val="24"/>
        </w:rPr>
        <w:t>0.统计分析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</w:t>
      </w:r>
      <w:r w:rsidRPr="00897BDF">
        <w:rPr>
          <w:rFonts w:ascii="宋体" w:eastAsia="宋体" w:hAnsi="宋体" w:cs="宋体"/>
          <w:sz w:val="24"/>
        </w:rPr>
        <w:t>1.流程节点管理</w:t>
      </w:r>
    </w:p>
    <w:p w:rsidR="00272033" w:rsidRPr="000457FB" w:rsidRDefault="00FC3D00" w:rsidP="0027203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（五）</w:t>
      </w:r>
      <w:r w:rsidR="00272033" w:rsidRPr="000457FB">
        <w:rPr>
          <w:rFonts w:ascii="宋体" w:eastAsia="宋体" w:hAnsi="宋体" w:cs="宋体" w:hint="eastAsia"/>
          <w:b/>
          <w:bCs/>
          <w:sz w:val="24"/>
        </w:rPr>
        <w:t>权限管理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1.员工账号管理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2. 角色权限控制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3</w:t>
      </w:r>
      <w:r w:rsidRPr="00897BDF">
        <w:rPr>
          <w:rFonts w:ascii="宋体" w:eastAsia="宋体" w:hAnsi="宋体" w:cs="宋体"/>
          <w:sz w:val="24"/>
        </w:rPr>
        <w:t>.流程管理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4</w:t>
      </w:r>
      <w:r w:rsidRPr="00897BDF">
        <w:rPr>
          <w:rFonts w:ascii="宋体" w:eastAsia="宋体" w:hAnsi="宋体" w:cs="宋体"/>
          <w:sz w:val="24"/>
        </w:rPr>
        <w:t>.表单设置管理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5</w:t>
      </w:r>
      <w:r w:rsidRPr="00897BDF">
        <w:rPr>
          <w:rFonts w:ascii="宋体" w:eastAsia="宋体" w:hAnsi="宋体" w:cs="宋体"/>
          <w:sz w:val="24"/>
        </w:rPr>
        <w:t>.组织架构管理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6</w:t>
      </w:r>
      <w:r w:rsidRPr="00897BDF">
        <w:rPr>
          <w:rFonts w:ascii="宋体" w:eastAsia="宋体" w:hAnsi="宋体" w:cs="宋体"/>
          <w:sz w:val="24"/>
        </w:rPr>
        <w:t>.人员类别管理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7</w:t>
      </w:r>
      <w:r w:rsidRPr="00897BDF">
        <w:rPr>
          <w:rFonts w:ascii="宋体" w:eastAsia="宋体" w:hAnsi="宋体" w:cs="宋体"/>
          <w:sz w:val="24"/>
        </w:rPr>
        <w:t>.菜单管理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8</w:t>
      </w:r>
      <w:r w:rsidRPr="00897BDF">
        <w:rPr>
          <w:rFonts w:ascii="宋体" w:eastAsia="宋体" w:hAnsi="宋体" w:cs="宋体"/>
          <w:sz w:val="24"/>
        </w:rPr>
        <w:t>.通知管理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9</w:t>
      </w:r>
      <w:r w:rsidRPr="00897BDF">
        <w:rPr>
          <w:rFonts w:ascii="宋体" w:eastAsia="宋体" w:hAnsi="宋体" w:cs="宋体"/>
          <w:sz w:val="24"/>
        </w:rPr>
        <w:t>.按钮权限管理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t>1</w:t>
      </w:r>
      <w:r w:rsidRPr="00897BDF">
        <w:rPr>
          <w:rFonts w:ascii="宋体" w:eastAsia="宋体" w:hAnsi="宋体" w:cs="宋体"/>
          <w:sz w:val="24"/>
        </w:rPr>
        <w:t>0.数据权限管理</w:t>
      </w:r>
    </w:p>
    <w:p w:rsidR="00272033" w:rsidRPr="000457FB" w:rsidRDefault="00FC3D00" w:rsidP="0027203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（六）</w:t>
      </w:r>
      <w:r w:rsidR="00272033" w:rsidRPr="000457FB">
        <w:rPr>
          <w:rFonts w:ascii="宋体" w:eastAsia="宋体" w:hAnsi="宋体" w:cs="宋体" w:hint="eastAsia"/>
          <w:b/>
          <w:bCs/>
          <w:sz w:val="24"/>
        </w:rPr>
        <w:t>考试管理</w:t>
      </w:r>
    </w:p>
    <w:p w:rsidR="00272033" w:rsidRPr="00897BDF" w:rsidRDefault="00272033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897BDF">
        <w:rPr>
          <w:rFonts w:ascii="宋体" w:eastAsia="宋体" w:hAnsi="宋体" w:cs="宋体" w:hint="eastAsia"/>
          <w:sz w:val="24"/>
        </w:rPr>
        <w:lastRenderedPageBreak/>
        <w:t>1</w:t>
      </w:r>
      <w:r w:rsidR="00897BDF">
        <w:rPr>
          <w:rFonts w:ascii="宋体" w:eastAsia="宋体" w:hAnsi="宋体" w:cs="宋体" w:hint="eastAsia"/>
          <w:sz w:val="24"/>
        </w:rPr>
        <w:t>.</w:t>
      </w:r>
      <w:r w:rsidRPr="00897BDF">
        <w:rPr>
          <w:rFonts w:ascii="宋体" w:eastAsia="宋体" w:hAnsi="宋体" w:cs="宋体" w:hint="eastAsia"/>
          <w:sz w:val="24"/>
        </w:rPr>
        <w:t>我的考试</w:t>
      </w:r>
    </w:p>
    <w:p w:rsidR="00272033" w:rsidRPr="00897BDF" w:rsidRDefault="00897BDF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272033" w:rsidRPr="00897BDF">
        <w:rPr>
          <w:rFonts w:ascii="宋体" w:eastAsia="宋体" w:hAnsi="宋体" w:cs="宋体" w:hint="eastAsia"/>
          <w:sz w:val="24"/>
        </w:rPr>
        <w:t>考试管理</w:t>
      </w:r>
    </w:p>
    <w:p w:rsidR="00272033" w:rsidRPr="00897BDF" w:rsidRDefault="00897BDF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 w:rsidR="00272033" w:rsidRPr="00897BDF">
        <w:rPr>
          <w:rFonts w:ascii="宋体" w:eastAsia="宋体" w:hAnsi="宋体" w:cs="宋体" w:hint="eastAsia"/>
          <w:sz w:val="24"/>
        </w:rPr>
        <w:t>继续教育</w:t>
      </w:r>
    </w:p>
    <w:p w:rsidR="00272033" w:rsidRPr="00897BDF" w:rsidRDefault="00897BDF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 w:rsidR="00272033" w:rsidRPr="00897BDF">
        <w:rPr>
          <w:rFonts w:ascii="宋体" w:eastAsia="宋体" w:hAnsi="宋体" w:cs="宋体" w:hint="eastAsia"/>
          <w:sz w:val="24"/>
        </w:rPr>
        <w:t>题库管理</w:t>
      </w:r>
    </w:p>
    <w:p w:rsidR="00272033" w:rsidRPr="00897BDF" w:rsidRDefault="00897BDF" w:rsidP="00897BDF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 w:rsidR="00272033" w:rsidRPr="00897BDF">
        <w:rPr>
          <w:rFonts w:ascii="宋体" w:eastAsia="宋体" w:hAnsi="宋体" w:cs="宋体" w:hint="eastAsia"/>
          <w:sz w:val="24"/>
        </w:rPr>
        <w:t>考试设置</w:t>
      </w:r>
    </w:p>
    <w:p w:rsidR="00272033" w:rsidRPr="000457FB" w:rsidRDefault="00FC3D00" w:rsidP="0027203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0457FB">
        <w:rPr>
          <w:rFonts w:ascii="宋体" w:eastAsia="宋体" w:hAnsi="宋体" w:cs="宋体" w:hint="eastAsia"/>
          <w:b/>
          <w:bCs/>
          <w:sz w:val="24"/>
        </w:rPr>
        <w:t>（七）</w:t>
      </w:r>
      <w:r w:rsidR="00272033" w:rsidRPr="000457FB">
        <w:rPr>
          <w:rFonts w:ascii="宋体" w:eastAsia="宋体" w:hAnsi="宋体" w:cs="宋体" w:hint="eastAsia"/>
          <w:b/>
          <w:bCs/>
          <w:sz w:val="24"/>
        </w:rPr>
        <w:t>科教管理模块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1、科教公告发布区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2、科研项目专区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3、科技成果专区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4、人才培养专区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5、团队建设专区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6、继续教育专区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7、横向项目专区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8、伦理诚信专区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9、学术活动专区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10、财务审核专区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11、统计查询考核专区</w:t>
      </w:r>
    </w:p>
    <w:p w:rsidR="00272033" w:rsidRPr="00AB1A62" w:rsidRDefault="00272033" w:rsidP="00AB1A62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 w:rsidRPr="00AB1A62">
        <w:rPr>
          <w:rFonts w:ascii="宋体" w:eastAsia="宋体" w:hAnsi="宋体" w:cs="宋体" w:hint="eastAsia"/>
          <w:sz w:val="24"/>
        </w:rPr>
        <w:t>12、系统设置专区</w:t>
      </w:r>
    </w:p>
    <w:p w:rsidR="00272033" w:rsidRPr="00E474BA" w:rsidRDefault="00272033" w:rsidP="00E474BA">
      <w:pPr>
        <w:rPr>
          <w:rFonts w:ascii="宋体" w:hAnsi="宋体" w:cs="宋体"/>
          <w:szCs w:val="21"/>
        </w:rPr>
      </w:pPr>
    </w:p>
    <w:p w:rsidR="0003403F" w:rsidRDefault="0003403F" w:rsidP="0003403F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免费维护期</w:t>
      </w:r>
    </w:p>
    <w:p w:rsidR="0003403F" w:rsidRDefault="0003403F" w:rsidP="0003403F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本项目免费维护期一年。</w:t>
      </w:r>
    </w:p>
    <w:p w:rsidR="003516BF" w:rsidRDefault="003E0F20" w:rsidP="0003403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验收及付款</w:t>
      </w:r>
    </w:p>
    <w:p w:rsidR="003516BF" w:rsidRPr="00DC5D3A" w:rsidRDefault="00414651" w:rsidP="00DC5D3A">
      <w:pPr>
        <w:spacing w:line="360" w:lineRule="auto"/>
        <w:ind w:firstLine="480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项目实施完毕，验收合格后支付合同额的</w:t>
      </w:r>
      <w:r w:rsidR="0003403F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0%</w:t>
      </w:r>
      <w:r w:rsidR="0003403F">
        <w:rPr>
          <w:rFonts w:ascii="宋体" w:hAnsi="宋体" w:cs="宋体" w:hint="eastAsia"/>
          <w:sz w:val="24"/>
        </w:rPr>
        <w:t>；项目验收合格一年后，支付合同额的10%</w:t>
      </w:r>
      <w:r>
        <w:rPr>
          <w:rFonts w:ascii="宋体" w:hAnsi="宋体" w:cs="宋体" w:hint="eastAsia"/>
          <w:sz w:val="24"/>
        </w:rPr>
        <w:t>。</w:t>
      </w:r>
    </w:p>
    <w:p w:rsidR="003516BF" w:rsidRDefault="003E0F20" w:rsidP="0003403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面议时间</w:t>
      </w:r>
    </w:p>
    <w:p w:rsidR="003516BF" w:rsidRDefault="003E0F2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供应商必须将营业执照复印件、报价单</w:t>
      </w:r>
      <w:r w:rsidR="00414651">
        <w:rPr>
          <w:rFonts w:ascii="宋体" w:eastAsia="宋体" w:hAnsi="宋体" w:cs="宋体" w:hint="eastAsia"/>
          <w:sz w:val="24"/>
        </w:rPr>
        <w:t>、</w:t>
      </w:r>
      <w:r w:rsidR="00414651" w:rsidRPr="00414651">
        <w:rPr>
          <w:rFonts w:ascii="宋体" w:eastAsia="宋体" w:hAnsi="宋体" w:cs="宋体" w:hint="eastAsia"/>
          <w:sz w:val="24"/>
        </w:rPr>
        <w:t>身份证复印件与授权委托书</w:t>
      </w:r>
      <w:r>
        <w:rPr>
          <w:rFonts w:ascii="宋体" w:eastAsia="宋体" w:hAnsi="宋体" w:cs="宋体" w:hint="eastAsia"/>
          <w:sz w:val="24"/>
        </w:rPr>
        <w:t>等与采购相关的资料一式三份签字盖章后于2019年</w:t>
      </w:r>
      <w:r w:rsidR="00E94657"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</w:t>
      </w:r>
      <w:r w:rsidR="00E94657"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日下午1</w:t>
      </w:r>
      <w:r w:rsidR="0014331F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：</w:t>
      </w:r>
      <w:r w:rsidR="0014331F"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0时前至嵊州市人民医院议价。</w:t>
      </w:r>
    </w:p>
    <w:p w:rsidR="003516BF" w:rsidRDefault="003E0F20" w:rsidP="0003403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联系人及电话：</w:t>
      </w:r>
    </w:p>
    <w:p w:rsidR="003516BF" w:rsidRDefault="003E0F20" w:rsidP="006D44A5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浙江省嵊州市丹桂路666号嵊州市人民医院</w:t>
      </w:r>
    </w:p>
    <w:p w:rsidR="00034F6C" w:rsidRPr="00034F6C" w:rsidRDefault="00034F6C" w:rsidP="00034F6C">
      <w:pPr>
        <w:ind w:firstLineChars="300" w:firstLine="720"/>
        <w:rPr>
          <w:rFonts w:ascii="宋体" w:eastAsia="宋体" w:hAnsi="宋体" w:cs="宋体"/>
          <w:sz w:val="24"/>
        </w:rPr>
      </w:pPr>
      <w:r w:rsidRPr="00034F6C">
        <w:rPr>
          <w:rFonts w:ascii="宋体" w:eastAsia="宋体" w:hAnsi="宋体" w:cs="宋体" w:hint="eastAsia"/>
          <w:sz w:val="24"/>
        </w:rPr>
        <w:t>联系人：章恩维   联系电话：0575-83338329</w:t>
      </w:r>
    </w:p>
    <w:p w:rsidR="000D2C15" w:rsidRPr="00034F6C" w:rsidRDefault="000D2C15" w:rsidP="00034F6C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</w:p>
    <w:sectPr w:rsidR="000D2C15" w:rsidRPr="00034F6C" w:rsidSect="0035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99" w:rsidRDefault="00096C99" w:rsidP="006D44A5">
      <w:r>
        <w:separator/>
      </w:r>
    </w:p>
  </w:endnote>
  <w:endnote w:type="continuationSeparator" w:id="0">
    <w:p w:rsidR="00096C99" w:rsidRDefault="00096C99" w:rsidP="006D4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99" w:rsidRDefault="00096C99" w:rsidP="006D44A5">
      <w:r>
        <w:separator/>
      </w:r>
    </w:p>
  </w:footnote>
  <w:footnote w:type="continuationSeparator" w:id="0">
    <w:p w:rsidR="00096C99" w:rsidRDefault="00096C99" w:rsidP="006D4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139C91"/>
    <w:multiLevelType w:val="singleLevel"/>
    <w:tmpl w:val="AF139C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16E930"/>
    <w:multiLevelType w:val="singleLevel"/>
    <w:tmpl w:val="C416E93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C3F"/>
    <w:rsid w:val="0003403F"/>
    <w:rsid w:val="00034F6C"/>
    <w:rsid w:val="000457FB"/>
    <w:rsid w:val="00096C99"/>
    <w:rsid w:val="000B7197"/>
    <w:rsid w:val="000D2C15"/>
    <w:rsid w:val="0014331F"/>
    <w:rsid w:val="00272033"/>
    <w:rsid w:val="00291EF6"/>
    <w:rsid w:val="002D5EA1"/>
    <w:rsid w:val="003516BF"/>
    <w:rsid w:val="00390BFA"/>
    <w:rsid w:val="003E0F20"/>
    <w:rsid w:val="00414651"/>
    <w:rsid w:val="00452C3F"/>
    <w:rsid w:val="00595B63"/>
    <w:rsid w:val="005C712A"/>
    <w:rsid w:val="006D44A5"/>
    <w:rsid w:val="007251B4"/>
    <w:rsid w:val="007644AD"/>
    <w:rsid w:val="008551DB"/>
    <w:rsid w:val="00897BDF"/>
    <w:rsid w:val="008A777C"/>
    <w:rsid w:val="00A8275B"/>
    <w:rsid w:val="00A94E82"/>
    <w:rsid w:val="00A960DB"/>
    <w:rsid w:val="00AB1A62"/>
    <w:rsid w:val="00AC7A60"/>
    <w:rsid w:val="00AE2EFD"/>
    <w:rsid w:val="00B6324C"/>
    <w:rsid w:val="00B7439B"/>
    <w:rsid w:val="00C870E6"/>
    <w:rsid w:val="00DB51B6"/>
    <w:rsid w:val="00DC5D3A"/>
    <w:rsid w:val="00E474BA"/>
    <w:rsid w:val="00E94657"/>
    <w:rsid w:val="00EB718D"/>
    <w:rsid w:val="00EF1A45"/>
    <w:rsid w:val="00FC3D00"/>
    <w:rsid w:val="46C2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516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516BF"/>
    <w:rPr>
      <w:sz w:val="18"/>
      <w:szCs w:val="18"/>
    </w:rPr>
  </w:style>
  <w:style w:type="paragraph" w:styleId="a5">
    <w:name w:val="List Paragraph"/>
    <w:basedOn w:val="a"/>
    <w:uiPriority w:val="34"/>
    <w:qFormat/>
    <w:rsid w:val="00034F6C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1044</Characters>
  <Application>Microsoft Office Word</Application>
  <DocSecurity>0</DocSecurity>
  <Lines>8</Lines>
  <Paragraphs>2</Paragraphs>
  <ScaleCrop>false</ScaleCrop>
  <Company>MS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Microsoft</cp:lastModifiedBy>
  <cp:revision>34</cp:revision>
  <dcterms:created xsi:type="dcterms:W3CDTF">2019-09-19T00:06:00Z</dcterms:created>
  <dcterms:modified xsi:type="dcterms:W3CDTF">2019-10-10T09:15:00Z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