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Theme="minorEastAsia"/>
          <w:sz w:val="42"/>
          <w:szCs w:val="42"/>
          <w:lang w:eastAsia="zh-CN"/>
        </w:rPr>
      </w:pPr>
      <w:r>
        <w:rPr>
          <w:rFonts w:hint="eastAsia"/>
          <w:sz w:val="42"/>
          <w:szCs w:val="42"/>
        </w:rPr>
        <w:t>嵊州市人民医院智慧停车建设项目</w:t>
      </w:r>
      <w:r>
        <w:rPr>
          <w:rFonts w:hint="eastAsia"/>
          <w:sz w:val="42"/>
          <w:szCs w:val="42"/>
          <w:lang w:eastAsia="zh-CN"/>
        </w:rPr>
        <w:t>基本需求</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sz w:val="30"/>
          <w:szCs w:val="30"/>
          <w:lang w:eastAsia="zh-CN"/>
        </w:rPr>
        <w:t>嵊州市人民医院智慧停车二期建设是在原有的院内交通设施设备和基础车场环境上进行升级和改造。主要改造和新增项目如下：</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1.原门诊2号楼地下室收费岗亭拆除</w:t>
      </w:r>
      <w:r>
        <w:rPr>
          <w:rFonts w:hint="eastAsia" w:asciiTheme="minorEastAsia" w:hAnsiTheme="minorEastAsia" w:cstheme="minorEastAsia"/>
          <w:sz w:val="30"/>
          <w:szCs w:val="30"/>
          <w:lang w:val="en-US" w:eastAsia="zh-CN"/>
        </w:rPr>
        <w:t>。</w:t>
      </w:r>
      <w:r>
        <w:rPr>
          <w:rFonts w:hint="eastAsia" w:asciiTheme="minorEastAsia" w:hAnsiTheme="minorEastAsia" w:eastAsiaTheme="minorEastAsia" w:cstheme="minorEastAsia"/>
          <w:sz w:val="30"/>
          <w:szCs w:val="30"/>
          <w:lang w:val="en-US" w:eastAsia="zh-CN"/>
        </w:rPr>
        <w:t>道闸机（一进一出）两台拆除后移位到门诊广场重新安装。</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2.门诊广场新增收费岗亭一座。</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3.门诊广场人车分离设置安装隔离护栏260米。</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cstheme="minorEastAsia"/>
          <w:sz w:val="30"/>
          <w:szCs w:val="30"/>
          <w:lang w:val="en-US" w:eastAsia="zh-CN"/>
        </w:rPr>
        <w:t>4</w:t>
      </w:r>
      <w:r>
        <w:rPr>
          <w:rFonts w:hint="eastAsia" w:asciiTheme="minorEastAsia" w:hAnsiTheme="minorEastAsia" w:eastAsiaTheme="minorEastAsia" w:cstheme="minorEastAsia"/>
          <w:sz w:val="30"/>
          <w:szCs w:val="30"/>
          <w:lang w:val="en-US" w:eastAsia="zh-CN"/>
        </w:rPr>
        <w:t>.行政楼新增闸机（直杆）一台。</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cstheme="minorEastAsia"/>
          <w:sz w:val="30"/>
          <w:szCs w:val="30"/>
          <w:lang w:val="en-US" w:eastAsia="zh-CN"/>
        </w:rPr>
        <w:t>5</w:t>
      </w:r>
      <w:r>
        <w:rPr>
          <w:rFonts w:hint="eastAsia" w:asciiTheme="minorEastAsia" w:hAnsiTheme="minorEastAsia" w:eastAsiaTheme="minorEastAsia" w:cstheme="minorEastAsia"/>
          <w:sz w:val="30"/>
          <w:szCs w:val="30"/>
          <w:lang w:val="en-US" w:eastAsia="zh-CN"/>
        </w:rPr>
        <w:t>.东门拆除原有两台闸机（直杆），更换成闸机（栅栏杆）。</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cstheme="minorEastAsia"/>
          <w:sz w:val="30"/>
          <w:szCs w:val="30"/>
          <w:lang w:val="en-US" w:eastAsia="zh-CN"/>
        </w:rPr>
        <w:t>6</w:t>
      </w:r>
      <w:r>
        <w:rPr>
          <w:rFonts w:hint="eastAsia" w:asciiTheme="minorEastAsia" w:hAnsiTheme="minorEastAsia" w:eastAsiaTheme="minorEastAsia" w:cstheme="minorEastAsia"/>
          <w:sz w:val="30"/>
          <w:szCs w:val="30"/>
          <w:lang w:val="en-US" w:eastAsia="zh-CN"/>
        </w:rPr>
        <w:t>.南门拆除原有两台闸机（直杆），更换成闸机（栅栏杆）。</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cstheme="minorEastAsia"/>
          <w:sz w:val="30"/>
          <w:szCs w:val="30"/>
          <w:lang w:val="en-US" w:eastAsia="zh-CN"/>
        </w:rPr>
        <w:t>7</w:t>
      </w:r>
      <w:r>
        <w:rPr>
          <w:rFonts w:hint="eastAsia" w:asciiTheme="minorEastAsia" w:hAnsiTheme="minorEastAsia" w:eastAsiaTheme="minorEastAsia" w:cstheme="minorEastAsia"/>
          <w:sz w:val="30"/>
          <w:szCs w:val="30"/>
          <w:lang w:val="en-US" w:eastAsia="zh-CN"/>
        </w:rPr>
        <w:t>.医院商铺（20号楼）西侧新增8个残疾人车位。</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cstheme="minorEastAsia"/>
          <w:sz w:val="30"/>
          <w:szCs w:val="30"/>
          <w:lang w:val="en-US" w:eastAsia="zh-CN"/>
        </w:rPr>
        <w:t>8</w:t>
      </w:r>
      <w:r>
        <w:rPr>
          <w:rFonts w:hint="eastAsia" w:asciiTheme="minorEastAsia" w:hAnsiTheme="minorEastAsia" w:eastAsiaTheme="minorEastAsia" w:cstheme="minorEastAsia"/>
          <w:sz w:val="30"/>
          <w:szCs w:val="30"/>
          <w:lang w:val="en-US" w:eastAsia="zh-CN"/>
        </w:rPr>
        <w:t>.地下停车场新增</w:t>
      </w:r>
      <w:r>
        <w:rPr>
          <w:rFonts w:hint="eastAsia" w:asciiTheme="minorEastAsia" w:hAnsiTheme="minorEastAsia" w:cstheme="minorEastAsia"/>
          <w:sz w:val="30"/>
          <w:szCs w:val="30"/>
          <w:lang w:val="en-US" w:eastAsia="zh-CN"/>
        </w:rPr>
        <w:t>3</w:t>
      </w:r>
      <w:r>
        <w:rPr>
          <w:rFonts w:hint="eastAsia" w:asciiTheme="minorEastAsia" w:hAnsiTheme="minorEastAsia" w:eastAsiaTheme="minorEastAsia" w:cstheme="minorEastAsia"/>
          <w:sz w:val="30"/>
          <w:szCs w:val="30"/>
          <w:lang w:val="en-US" w:eastAsia="zh-CN"/>
        </w:rPr>
        <w:t>0个标准矩形车位。</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cstheme="minorEastAsia"/>
          <w:sz w:val="30"/>
          <w:szCs w:val="30"/>
          <w:lang w:val="en-US" w:eastAsia="zh-CN"/>
        </w:rPr>
        <w:t>9</w:t>
      </w:r>
      <w:r>
        <w:rPr>
          <w:rFonts w:hint="eastAsia" w:asciiTheme="minorEastAsia" w:hAnsiTheme="minorEastAsia" w:eastAsiaTheme="minorEastAsia" w:cstheme="minorEastAsia"/>
          <w:sz w:val="30"/>
          <w:szCs w:val="30"/>
          <w:lang w:val="en-US" w:eastAsia="zh-CN"/>
        </w:rPr>
        <w:t>.地下停车场车位内水泥立柱安装防撞护角100个。</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cstheme="minorEastAsia"/>
          <w:sz w:val="30"/>
          <w:szCs w:val="30"/>
          <w:lang w:val="en-US" w:eastAsia="zh-CN"/>
        </w:rPr>
        <w:t>10</w:t>
      </w:r>
      <w:r>
        <w:rPr>
          <w:rFonts w:hint="eastAsia" w:asciiTheme="minorEastAsia" w:hAnsiTheme="minorEastAsia" w:eastAsiaTheme="minorEastAsia" w:cstheme="minorEastAsia"/>
          <w:sz w:val="30"/>
          <w:szCs w:val="30"/>
          <w:lang w:val="en-US" w:eastAsia="zh-CN"/>
        </w:rPr>
        <w:t>.急诊广场新增4个即停即走车位。</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1</w:t>
      </w:r>
      <w:r>
        <w:rPr>
          <w:rFonts w:hint="eastAsia" w:asciiTheme="minorEastAsia" w:hAnsiTheme="minorEastAsia" w:cstheme="minorEastAsia"/>
          <w:sz w:val="30"/>
          <w:szCs w:val="30"/>
          <w:lang w:val="en-US" w:eastAsia="zh-CN"/>
        </w:rPr>
        <w:t>1</w:t>
      </w:r>
      <w:r>
        <w:rPr>
          <w:rFonts w:hint="eastAsia" w:asciiTheme="minorEastAsia" w:hAnsiTheme="minorEastAsia" w:eastAsiaTheme="minorEastAsia" w:cstheme="minorEastAsia"/>
          <w:sz w:val="30"/>
          <w:szCs w:val="30"/>
          <w:lang w:val="en-US" w:eastAsia="zh-CN"/>
        </w:rPr>
        <w:t>.院内交通车道路面喷绘通行指示箭头标记137个。</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1</w:t>
      </w:r>
      <w:r>
        <w:rPr>
          <w:rFonts w:hint="eastAsia" w:asciiTheme="minorEastAsia" w:hAnsiTheme="minorEastAsia" w:cstheme="minorEastAsia"/>
          <w:sz w:val="30"/>
          <w:szCs w:val="30"/>
          <w:lang w:val="en-US" w:eastAsia="zh-CN"/>
        </w:rPr>
        <w:t>2</w:t>
      </w:r>
      <w:r>
        <w:rPr>
          <w:rFonts w:hint="eastAsia" w:asciiTheme="minorEastAsia" w:hAnsiTheme="minorEastAsia" w:eastAsiaTheme="minorEastAsia" w:cstheme="minorEastAsia"/>
          <w:sz w:val="30"/>
          <w:szCs w:val="30"/>
          <w:lang w:val="en-US" w:eastAsia="zh-CN"/>
        </w:rPr>
        <w:t>.院内交通车道路面单行指示立牌13套。</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00" w:firstLineChars="200"/>
        <w:textAlignment w:val="auto"/>
        <w:rPr>
          <w:rFonts w:hint="default" w:asciiTheme="minorEastAsia" w:hAnsiTheme="minorEastAsia" w:eastAsiaTheme="minorEastAsia" w:cstheme="minorEastAsia"/>
          <w:sz w:val="30"/>
          <w:szCs w:val="30"/>
          <w:lang w:val="en-US" w:eastAsia="zh-CN"/>
        </w:rPr>
      </w:pPr>
      <w:r>
        <w:rPr>
          <w:rFonts w:hint="eastAsia" w:asciiTheme="minorEastAsia" w:hAnsiTheme="minorEastAsia" w:cstheme="minorEastAsia"/>
          <w:sz w:val="30"/>
          <w:szCs w:val="30"/>
          <w:lang w:val="en-US" w:eastAsia="zh-CN"/>
        </w:rPr>
        <w:t>13.门诊广场、商铺等场所禁令标志3套</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00" w:firstLineChars="200"/>
        <w:textAlignment w:val="auto"/>
        <w:rPr>
          <w:rFonts w:hint="default"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1</w:t>
      </w:r>
      <w:r>
        <w:rPr>
          <w:rFonts w:hint="eastAsia" w:asciiTheme="minorEastAsia" w:hAnsiTheme="minorEastAsia" w:cstheme="minorEastAsia"/>
          <w:sz w:val="30"/>
          <w:szCs w:val="30"/>
          <w:lang w:val="en-US" w:eastAsia="zh-CN"/>
        </w:rPr>
        <w:t>4</w:t>
      </w:r>
      <w:r>
        <w:rPr>
          <w:rFonts w:hint="eastAsia" w:asciiTheme="minorEastAsia" w:hAnsiTheme="minorEastAsia" w:eastAsiaTheme="minorEastAsia" w:cstheme="minorEastAsia"/>
          <w:sz w:val="30"/>
          <w:szCs w:val="30"/>
          <w:lang w:val="en-US" w:eastAsia="zh-CN"/>
        </w:rPr>
        <w:t>.门诊广场、东门、南门出入口安装减速带</w:t>
      </w:r>
      <w:r>
        <w:rPr>
          <w:rFonts w:hint="eastAsia" w:asciiTheme="minorEastAsia" w:hAnsiTheme="minorEastAsia" w:cstheme="minorEastAsia"/>
          <w:sz w:val="30"/>
          <w:szCs w:val="30"/>
          <w:lang w:val="en-US" w:eastAsia="zh-CN"/>
        </w:rPr>
        <w:t>68.5米</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1</w:t>
      </w:r>
      <w:r>
        <w:rPr>
          <w:rFonts w:hint="eastAsia" w:asciiTheme="minorEastAsia" w:hAnsiTheme="minorEastAsia" w:cstheme="minorEastAsia"/>
          <w:sz w:val="30"/>
          <w:szCs w:val="30"/>
          <w:lang w:val="en-US" w:eastAsia="zh-CN"/>
        </w:rPr>
        <w:t>5</w:t>
      </w:r>
      <w:r>
        <w:rPr>
          <w:rFonts w:hint="eastAsia" w:asciiTheme="minorEastAsia" w:hAnsiTheme="minorEastAsia" w:eastAsiaTheme="minorEastAsia" w:cstheme="minorEastAsia"/>
          <w:sz w:val="30"/>
          <w:szCs w:val="30"/>
          <w:lang w:val="en-US" w:eastAsia="zh-CN"/>
        </w:rPr>
        <w:t>.商铺（19号楼）至急诊楼路面东侧新增非机动车位。</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lang w:val="en-US" w:eastAsia="zh-CN"/>
        </w:rPr>
      </w:pP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lang w:val="en-US" w:eastAsia="zh-CN"/>
        </w:rPr>
      </w:pPr>
    </w:p>
    <w:p>
      <w:pPr>
        <w:numPr>
          <w:numId w:val="0"/>
        </w:numPr>
        <w:rPr>
          <w:rFonts w:hint="eastAsia" w:eastAsia="微软雅黑"/>
          <w:lang w:val="en-US" w:eastAsia="zh-CN"/>
        </w:rPr>
      </w:pPr>
    </w:p>
    <w:p>
      <w:pPr>
        <w:numPr>
          <w:numId w:val="0"/>
        </w:numPr>
        <w:rPr>
          <w:rFonts w:hint="default" w:eastAsia="微软雅黑"/>
          <w:lang w:val="en-US" w:eastAsia="zh-CN"/>
        </w:rPr>
      </w:pPr>
      <w:r>
        <w:rPr>
          <w:rFonts w:hint="eastAsia" w:eastAsia="微软雅黑"/>
          <w:lang w:val="en-US" w:eastAsia="zh-CN"/>
        </w:rPr>
        <w:t xml:space="preserve">     </w:t>
      </w:r>
    </w:p>
    <w:p>
      <w:pPr>
        <w:numPr>
          <w:numId w:val="0"/>
        </w:numPr>
        <w:rPr>
          <w:rFonts w:hint="eastAsia" w:eastAsia="微软雅黑"/>
          <w:lang w:val="en-US" w:eastAsia="zh-CN"/>
        </w:rPr>
      </w:pPr>
    </w:p>
    <w:p>
      <w:pPr>
        <w:numPr>
          <w:numId w:val="0"/>
        </w:numPr>
        <w:rPr>
          <w:rFonts w:hint="eastAsia" w:eastAsia="微软雅黑"/>
          <w:lang w:val="en-US" w:eastAsia="zh-CN"/>
        </w:rPr>
      </w:pPr>
    </w:p>
    <w:tbl>
      <w:tblPr>
        <w:tblStyle w:val="2"/>
        <w:tblW w:w="97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99"/>
        <w:gridCol w:w="3377"/>
        <w:gridCol w:w="1411"/>
        <w:gridCol w:w="1695"/>
        <w:gridCol w:w="16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809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44"/>
                <w:szCs w:val="44"/>
                <w:u w:val="none"/>
                <w:lang w:val="en-US" w:eastAsia="zh-CN" w:bidi="ar"/>
              </w:rPr>
              <w:t>嵊州市人民医院智慧停车建设项目</w:t>
            </w:r>
            <w:r>
              <w:rPr>
                <w:rFonts w:hint="eastAsia" w:asciiTheme="minorEastAsia" w:hAnsiTheme="minorEastAsia" w:cstheme="minorEastAsia"/>
                <w:i w:val="0"/>
                <w:iCs w:val="0"/>
                <w:color w:val="000000"/>
                <w:kern w:val="0"/>
                <w:sz w:val="44"/>
                <w:szCs w:val="44"/>
                <w:u w:val="none"/>
                <w:lang w:val="en-US" w:eastAsia="zh-CN" w:bidi="ar"/>
              </w:rPr>
              <w:t>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1605" w:type="dxa"/>
            <w:tcBorders>
              <w:top w:val="single" w:color="000000" w:sz="4" w:space="0"/>
              <w:left w:val="single" w:color="000000" w:sz="4" w:space="0"/>
              <w:bottom w:val="single" w:color="000000" w:sz="4" w:space="0"/>
              <w:right w:val="single" w:color="000000" w:sz="4" w:space="0"/>
            </w:tcBorders>
            <w:shd w:val="clear" w:color="auto" w:fill="E1B078"/>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8"/>
                <w:szCs w:val="28"/>
                <w:u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类别</w:t>
            </w:r>
          </w:p>
        </w:tc>
        <w:tc>
          <w:tcPr>
            <w:tcW w:w="3379" w:type="dxa"/>
            <w:tcBorders>
              <w:top w:val="single" w:color="000000" w:sz="4" w:space="0"/>
              <w:left w:val="single" w:color="000000" w:sz="4" w:space="0"/>
              <w:bottom w:val="single" w:color="000000" w:sz="4" w:space="0"/>
              <w:right w:val="single" w:color="000000" w:sz="4" w:space="0"/>
            </w:tcBorders>
            <w:shd w:val="clear" w:color="auto" w:fill="E1B078"/>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8"/>
                <w:szCs w:val="28"/>
                <w:u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应用功能</w:t>
            </w:r>
          </w:p>
        </w:tc>
        <w:tc>
          <w:tcPr>
            <w:tcW w:w="1413" w:type="dxa"/>
            <w:tcBorders>
              <w:top w:val="single" w:color="000000" w:sz="4" w:space="0"/>
              <w:left w:val="single" w:color="000000" w:sz="4" w:space="0"/>
              <w:bottom w:val="single" w:color="000000" w:sz="4" w:space="0"/>
              <w:right w:val="single" w:color="000000" w:sz="4" w:space="0"/>
            </w:tcBorders>
            <w:shd w:val="clear" w:color="auto" w:fill="E1B078"/>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8"/>
                <w:szCs w:val="28"/>
                <w:u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单位</w:t>
            </w:r>
          </w:p>
        </w:tc>
        <w:tc>
          <w:tcPr>
            <w:tcW w:w="1698" w:type="dxa"/>
            <w:tcBorders>
              <w:top w:val="single" w:color="000000" w:sz="4" w:space="0"/>
              <w:left w:val="single" w:color="000000" w:sz="4" w:space="0"/>
              <w:bottom w:val="single" w:color="000000" w:sz="4" w:space="0"/>
              <w:right w:val="single" w:color="000000" w:sz="4" w:space="0"/>
            </w:tcBorders>
            <w:shd w:val="clear" w:color="auto" w:fill="E1B078"/>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8"/>
                <w:szCs w:val="28"/>
                <w:u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数量</w:t>
            </w:r>
          </w:p>
        </w:tc>
        <w:tc>
          <w:tcPr>
            <w:tcW w:w="1698" w:type="dxa"/>
            <w:tcBorders>
              <w:top w:val="single" w:color="000000" w:sz="4" w:space="0"/>
              <w:left w:val="single" w:color="000000" w:sz="4" w:space="0"/>
              <w:bottom w:val="single" w:color="000000" w:sz="4" w:space="0"/>
              <w:right w:val="single" w:color="000000" w:sz="4" w:space="0"/>
            </w:tcBorders>
            <w:shd w:val="clear" w:color="auto" w:fill="E1B078"/>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8"/>
                <w:szCs w:val="28"/>
                <w:u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exact"/>
          <w:jc w:val="center"/>
        </w:trPr>
        <w:tc>
          <w:tcPr>
            <w:tcW w:w="1605" w:type="dxa"/>
            <w:vMerge w:val="restart"/>
            <w:tcBorders>
              <w:top w:val="single" w:color="000000" w:sz="4" w:space="0"/>
              <w:left w:val="single" w:color="000000" w:sz="4" w:space="0"/>
              <w:bottom w:val="single" w:color="000000" w:sz="4" w:space="0"/>
              <w:right w:val="single" w:color="000000" w:sz="4" w:space="0"/>
            </w:tcBorders>
            <w:shd w:val="clear" w:color="auto" w:fill="E1B078"/>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28"/>
                <w:szCs w:val="28"/>
                <w:u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硬件设备</w:t>
            </w:r>
          </w:p>
        </w:tc>
        <w:tc>
          <w:tcPr>
            <w:tcW w:w="3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闸机（栅栏杆）</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台</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exact"/>
          <w:jc w:val="center"/>
        </w:trPr>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E1B078"/>
            <w:vAlign w:val="center"/>
          </w:tcPr>
          <w:p>
            <w:pPr>
              <w:rPr>
                <w:rFonts w:hint="eastAsia" w:asciiTheme="minorEastAsia" w:hAnsiTheme="minorEastAsia" w:eastAsiaTheme="minorEastAsia" w:cstheme="minorEastAsia"/>
                <w:b/>
                <w:bCs/>
                <w:i w:val="0"/>
                <w:iCs w:val="0"/>
                <w:color w:val="000000"/>
                <w:sz w:val="28"/>
                <w:szCs w:val="28"/>
                <w:u w:val="none"/>
              </w:rPr>
            </w:pPr>
          </w:p>
        </w:tc>
        <w:tc>
          <w:tcPr>
            <w:tcW w:w="3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闸机（直杆）</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台</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exact"/>
          <w:jc w:val="center"/>
        </w:trPr>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E1B078"/>
            <w:vAlign w:val="center"/>
          </w:tcPr>
          <w:p>
            <w:pPr>
              <w:rPr>
                <w:rFonts w:hint="eastAsia" w:asciiTheme="minorEastAsia" w:hAnsiTheme="minorEastAsia" w:eastAsiaTheme="minorEastAsia" w:cstheme="minorEastAsia"/>
                <w:b/>
                <w:bCs/>
                <w:i w:val="0"/>
                <w:iCs w:val="0"/>
                <w:color w:val="000000"/>
                <w:sz w:val="28"/>
                <w:szCs w:val="28"/>
                <w:u w:val="none"/>
              </w:rPr>
            </w:pPr>
          </w:p>
        </w:tc>
        <w:tc>
          <w:tcPr>
            <w:tcW w:w="3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车检器（触发+防砸）</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台</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exact"/>
          <w:jc w:val="center"/>
        </w:trPr>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E1B078"/>
            <w:vAlign w:val="center"/>
          </w:tcPr>
          <w:p>
            <w:pPr>
              <w:rPr>
                <w:rFonts w:hint="eastAsia" w:asciiTheme="minorEastAsia" w:hAnsiTheme="minorEastAsia" w:eastAsiaTheme="minorEastAsia" w:cstheme="minorEastAsia"/>
                <w:b/>
                <w:bCs/>
                <w:i w:val="0"/>
                <w:iCs w:val="0"/>
                <w:color w:val="000000"/>
                <w:sz w:val="28"/>
                <w:szCs w:val="28"/>
                <w:u w:val="none"/>
              </w:rPr>
            </w:pPr>
          </w:p>
        </w:tc>
        <w:tc>
          <w:tcPr>
            <w:tcW w:w="3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防砸雷达</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台</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exact"/>
          <w:jc w:val="center"/>
        </w:trPr>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E1B078"/>
            <w:vAlign w:val="center"/>
          </w:tcPr>
          <w:p>
            <w:pPr>
              <w:rPr>
                <w:rFonts w:hint="eastAsia" w:asciiTheme="minorEastAsia" w:hAnsiTheme="minorEastAsia" w:eastAsiaTheme="minorEastAsia" w:cstheme="minorEastAsia"/>
                <w:b/>
                <w:bCs/>
                <w:i w:val="0"/>
                <w:iCs w:val="0"/>
                <w:color w:val="000000"/>
                <w:sz w:val="28"/>
                <w:szCs w:val="28"/>
                <w:u w:val="none"/>
              </w:rPr>
            </w:pPr>
          </w:p>
        </w:tc>
        <w:tc>
          <w:tcPr>
            <w:tcW w:w="3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岗亭</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台</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exact"/>
          <w:jc w:val="center"/>
        </w:trPr>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E1B078"/>
            <w:vAlign w:val="center"/>
          </w:tcPr>
          <w:p>
            <w:pPr>
              <w:rPr>
                <w:rFonts w:hint="eastAsia" w:asciiTheme="minorEastAsia" w:hAnsiTheme="minorEastAsia" w:eastAsiaTheme="minorEastAsia" w:cstheme="minorEastAsia"/>
                <w:b/>
                <w:bCs/>
                <w:i w:val="0"/>
                <w:iCs w:val="0"/>
                <w:color w:val="000000"/>
                <w:sz w:val="28"/>
                <w:szCs w:val="28"/>
                <w:u w:val="none"/>
              </w:rPr>
            </w:pPr>
          </w:p>
        </w:tc>
        <w:tc>
          <w:tcPr>
            <w:tcW w:w="3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栅栏杆</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根</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exact"/>
          <w:jc w:val="center"/>
        </w:trPr>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E1B078"/>
            <w:vAlign w:val="center"/>
          </w:tcPr>
          <w:p>
            <w:pPr>
              <w:rPr>
                <w:rFonts w:hint="eastAsia" w:asciiTheme="minorEastAsia" w:hAnsiTheme="minorEastAsia" w:eastAsiaTheme="minorEastAsia" w:cstheme="minorEastAsia"/>
                <w:b/>
                <w:bCs/>
                <w:i w:val="0"/>
                <w:iCs w:val="0"/>
                <w:color w:val="000000"/>
                <w:sz w:val="28"/>
                <w:szCs w:val="28"/>
                <w:u w:val="none"/>
              </w:rPr>
            </w:pPr>
          </w:p>
        </w:tc>
        <w:tc>
          <w:tcPr>
            <w:tcW w:w="3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防砸地感</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车道</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exact"/>
          <w:jc w:val="center"/>
        </w:trPr>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E1B078"/>
            <w:vAlign w:val="center"/>
          </w:tcPr>
          <w:p>
            <w:pPr>
              <w:rPr>
                <w:rFonts w:hint="eastAsia" w:asciiTheme="minorEastAsia" w:hAnsiTheme="minorEastAsia" w:eastAsiaTheme="minorEastAsia" w:cstheme="minorEastAsia"/>
                <w:b/>
                <w:bCs/>
                <w:i w:val="0"/>
                <w:iCs w:val="0"/>
                <w:color w:val="000000"/>
                <w:sz w:val="28"/>
                <w:szCs w:val="28"/>
                <w:u w:val="none"/>
              </w:rPr>
            </w:pPr>
          </w:p>
        </w:tc>
        <w:tc>
          <w:tcPr>
            <w:tcW w:w="3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触发地感</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车道</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exact"/>
          <w:jc w:val="center"/>
        </w:trPr>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E1B078"/>
            <w:vAlign w:val="center"/>
          </w:tcPr>
          <w:p>
            <w:pPr>
              <w:rPr>
                <w:rFonts w:hint="eastAsia" w:asciiTheme="minorEastAsia" w:hAnsiTheme="minorEastAsia" w:eastAsiaTheme="minorEastAsia" w:cstheme="minorEastAsia"/>
                <w:b/>
                <w:bCs/>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矩形车位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热溶标线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exact"/>
          <w:jc w:val="center"/>
        </w:trPr>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E1B078"/>
            <w:vAlign w:val="center"/>
          </w:tcPr>
          <w:p>
            <w:pPr>
              <w:rPr>
                <w:rFonts w:hint="eastAsia" w:asciiTheme="minorEastAsia" w:hAnsiTheme="minorEastAsia" w:eastAsiaTheme="minorEastAsia" w:cstheme="minorEastAsia"/>
                <w:b/>
                <w:bCs/>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非机动车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常温涂料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exact"/>
          <w:jc w:val="center"/>
        </w:trPr>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E1B078"/>
            <w:vAlign w:val="center"/>
          </w:tcPr>
          <w:p>
            <w:pPr>
              <w:rPr>
                <w:rFonts w:hint="eastAsia" w:asciiTheme="minorEastAsia" w:hAnsiTheme="minorEastAsia" w:eastAsiaTheme="minorEastAsia" w:cstheme="minorEastAsia"/>
                <w:b/>
                <w:bCs/>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残疾人标识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常温涂料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exact"/>
          <w:jc w:val="center"/>
        </w:trPr>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E1B078"/>
            <w:vAlign w:val="center"/>
          </w:tcPr>
          <w:p>
            <w:pPr>
              <w:rPr>
                <w:rFonts w:hint="eastAsia" w:asciiTheme="minorEastAsia" w:hAnsiTheme="minorEastAsia" w:eastAsiaTheme="minorEastAsia" w:cstheme="minorEastAsia"/>
                <w:b/>
                <w:bCs/>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残疾人车位斜线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29.85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常温涂料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exact"/>
          <w:jc w:val="center"/>
        </w:trPr>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E1B078"/>
            <w:vAlign w:val="center"/>
          </w:tcPr>
          <w:p>
            <w:pPr>
              <w:rPr>
                <w:rFonts w:hint="eastAsia" w:asciiTheme="minorEastAsia" w:hAnsiTheme="minorEastAsia" w:eastAsiaTheme="minorEastAsia" w:cstheme="minorEastAsia"/>
                <w:b/>
                <w:bCs/>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即停即走车位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常温涂料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exact"/>
          <w:jc w:val="center"/>
        </w:trPr>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E1B078"/>
            <w:vAlign w:val="center"/>
          </w:tcPr>
          <w:p>
            <w:pPr>
              <w:rPr>
                <w:rFonts w:hint="eastAsia" w:asciiTheme="minorEastAsia" w:hAnsiTheme="minorEastAsia" w:eastAsiaTheme="minorEastAsia" w:cstheme="minorEastAsia"/>
                <w:b/>
                <w:bCs/>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即停即走文字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常温涂料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exact"/>
          <w:jc w:val="center"/>
        </w:trPr>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E1B078"/>
            <w:vAlign w:val="center"/>
          </w:tcPr>
          <w:p>
            <w:pPr>
              <w:rPr>
                <w:rFonts w:hint="eastAsia" w:asciiTheme="minorEastAsia" w:hAnsiTheme="minorEastAsia" w:eastAsiaTheme="minorEastAsia" w:cstheme="minorEastAsia"/>
                <w:b/>
                <w:bCs/>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禁示桩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镀锌钢管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exact"/>
          <w:jc w:val="center"/>
        </w:trPr>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E1B078"/>
            <w:vAlign w:val="center"/>
          </w:tcPr>
          <w:p>
            <w:pPr>
              <w:rPr>
                <w:rFonts w:hint="eastAsia" w:asciiTheme="minorEastAsia" w:hAnsiTheme="minorEastAsia" w:eastAsiaTheme="minorEastAsia" w:cstheme="minorEastAsia"/>
                <w:b/>
                <w:bCs/>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隔离护栏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8"/>
                <w:szCs w:val="28"/>
                <w:u w:val="none"/>
                <w:lang w:val="en-US"/>
              </w:rPr>
            </w:pPr>
            <w:r>
              <w:rPr>
                <w:rFonts w:hint="eastAsia" w:asciiTheme="minorEastAsia" w:hAnsiTheme="minorEastAsia" w:eastAsiaTheme="minorEastAsia" w:cstheme="minorEastAsia"/>
                <w:i w:val="0"/>
                <w:iCs w:val="0"/>
                <w:color w:val="000000"/>
                <w:kern w:val="0"/>
                <w:sz w:val="28"/>
                <w:szCs w:val="28"/>
                <w:u w:val="none"/>
                <w:lang w:val="en-US" w:eastAsia="zh-CN" w:bidi="ar"/>
              </w:rPr>
              <w:t>2</w:t>
            </w:r>
            <w:r>
              <w:rPr>
                <w:rFonts w:hint="eastAsia" w:asciiTheme="minorEastAsia" w:hAnsiTheme="minorEastAsia" w:cstheme="minorEastAsia"/>
                <w:i w:val="0"/>
                <w:iCs w:val="0"/>
                <w:color w:val="000000"/>
                <w:kern w:val="0"/>
                <w:sz w:val="28"/>
                <w:szCs w:val="28"/>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镀锌钢管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exact"/>
          <w:jc w:val="center"/>
        </w:trPr>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E1B078"/>
            <w:vAlign w:val="center"/>
          </w:tcPr>
          <w:p>
            <w:pPr>
              <w:rPr>
                <w:rFonts w:hint="eastAsia" w:asciiTheme="minorEastAsia" w:hAnsiTheme="minorEastAsia" w:eastAsiaTheme="minorEastAsia" w:cstheme="minorEastAsia"/>
                <w:b/>
                <w:bCs/>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减速带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橡胶材质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exact"/>
          <w:jc w:val="center"/>
        </w:trPr>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E1B078"/>
            <w:vAlign w:val="center"/>
          </w:tcPr>
          <w:p>
            <w:pPr>
              <w:rPr>
                <w:rFonts w:hint="eastAsia" w:asciiTheme="minorEastAsia" w:hAnsiTheme="minorEastAsia" w:eastAsiaTheme="minorEastAsia" w:cstheme="minorEastAsia"/>
                <w:b/>
                <w:bCs/>
                <w:i w:val="0"/>
                <w:iCs w:val="0"/>
                <w:color w:val="000000"/>
                <w:sz w:val="28"/>
                <w:szCs w:val="28"/>
                <w:u w:val="none"/>
              </w:rPr>
            </w:pPr>
          </w:p>
        </w:tc>
        <w:tc>
          <w:tcPr>
            <w:tcW w:w="3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防撞护角</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个</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橡胶材质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exact"/>
          <w:jc w:val="center"/>
        </w:trPr>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E1B078"/>
            <w:vAlign w:val="center"/>
          </w:tcPr>
          <w:p>
            <w:pPr>
              <w:rPr>
                <w:rFonts w:hint="eastAsia" w:asciiTheme="minorEastAsia" w:hAnsiTheme="minorEastAsia" w:eastAsiaTheme="minorEastAsia" w:cstheme="minorEastAsia"/>
                <w:b/>
                <w:bCs/>
                <w:i w:val="0"/>
                <w:iCs w:val="0"/>
                <w:color w:val="000000"/>
                <w:sz w:val="28"/>
                <w:szCs w:val="28"/>
                <w:u w:val="none"/>
              </w:rPr>
            </w:pPr>
          </w:p>
        </w:tc>
        <w:tc>
          <w:tcPr>
            <w:tcW w:w="3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箭头标记</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个</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热溶标线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exact"/>
          <w:jc w:val="center"/>
        </w:trPr>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E1B078"/>
            <w:vAlign w:val="center"/>
          </w:tcPr>
          <w:p>
            <w:pPr>
              <w:rPr>
                <w:rFonts w:hint="eastAsia" w:asciiTheme="minorEastAsia" w:hAnsiTheme="minorEastAsia" w:eastAsiaTheme="minorEastAsia" w:cstheme="minorEastAsia"/>
                <w:b/>
                <w:bCs/>
                <w:i w:val="0"/>
                <w:iCs w:val="0"/>
                <w:color w:val="000000"/>
                <w:sz w:val="28"/>
                <w:szCs w:val="28"/>
                <w:u w:val="none"/>
              </w:rPr>
            </w:pPr>
          </w:p>
        </w:tc>
        <w:tc>
          <w:tcPr>
            <w:tcW w:w="3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28"/>
                <w:szCs w:val="28"/>
                <w:u w:val="none"/>
              </w:rPr>
            </w:pPr>
            <w:r>
              <w:rPr>
                <w:rFonts w:hint="eastAsia" w:asciiTheme="minorEastAsia" w:hAnsiTheme="minorEastAsia" w:eastAsiaTheme="minorEastAsia" w:cstheme="minorEastAsia"/>
                <w:i w:val="0"/>
                <w:iCs w:val="0"/>
                <w:color w:val="333333"/>
                <w:kern w:val="0"/>
                <w:sz w:val="28"/>
                <w:szCs w:val="28"/>
                <w:u w:val="none"/>
                <w:lang w:val="en-US" w:eastAsia="zh-CN" w:bidi="ar"/>
              </w:rPr>
              <w:t>禁令标牌</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套</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铝材反光膜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exact"/>
          <w:jc w:val="center"/>
        </w:trPr>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E1B078"/>
            <w:vAlign w:val="center"/>
          </w:tcPr>
          <w:p>
            <w:pPr>
              <w:rPr>
                <w:rFonts w:hint="eastAsia" w:asciiTheme="minorEastAsia" w:hAnsiTheme="minorEastAsia" w:eastAsiaTheme="minorEastAsia" w:cstheme="minorEastAsia"/>
                <w:b/>
                <w:bCs/>
                <w:i w:val="0"/>
                <w:iCs w:val="0"/>
                <w:color w:val="000000"/>
                <w:sz w:val="28"/>
                <w:szCs w:val="28"/>
                <w:u w:val="none"/>
              </w:rPr>
            </w:pPr>
          </w:p>
        </w:tc>
        <w:tc>
          <w:tcPr>
            <w:tcW w:w="3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28"/>
                <w:szCs w:val="28"/>
                <w:u w:val="none"/>
              </w:rPr>
            </w:pPr>
            <w:r>
              <w:rPr>
                <w:rFonts w:hint="eastAsia" w:asciiTheme="minorEastAsia" w:hAnsiTheme="minorEastAsia" w:eastAsiaTheme="minorEastAsia" w:cstheme="minorEastAsia"/>
                <w:i w:val="0"/>
                <w:iCs w:val="0"/>
                <w:color w:val="333333"/>
                <w:kern w:val="0"/>
                <w:sz w:val="28"/>
                <w:szCs w:val="28"/>
                <w:u w:val="none"/>
                <w:lang w:val="en-US" w:eastAsia="zh-CN" w:bidi="ar"/>
              </w:rPr>
              <w:t>单行指示标牌</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套</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铝材反光膜</w:t>
            </w:r>
          </w:p>
        </w:tc>
      </w:tr>
    </w:tbl>
    <w:p>
      <w:pPr>
        <w:numPr>
          <w:numId w:val="0"/>
        </w:numPr>
        <w:rPr>
          <w:rFonts w:hint="eastAsia" w:eastAsia="微软雅黑"/>
          <w:lang w:val="en-US" w:eastAsia="zh-CN"/>
        </w:rPr>
      </w:pPr>
    </w:p>
    <w:p>
      <w:pPr>
        <w:numPr>
          <w:numId w:val="0"/>
        </w:numPr>
        <w:rPr>
          <w:rFonts w:hint="default" w:eastAsia="微软雅黑"/>
          <w:lang w:val="en-US" w:eastAsia="zh-CN"/>
        </w:rPr>
      </w:pPr>
      <w:r>
        <w:rPr>
          <w:rFonts w:hint="eastAsia" w:eastAsia="微软雅黑"/>
          <w:lang w:val="en-US" w:eastAsia="zh-CN"/>
        </w:rPr>
        <w:t>]</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410A9C"/>
    <w:rsid w:val="7844634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2023-12-22T07:54:06Z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E983B7037B67428787F215FDE72B3D09</vt:lpwstr>
  </property>
</Properties>
</file>