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宋体" w:hAnsi="宋体" w:cs="宋体" w:eastAsiaTheme="minorEastAsia"/>
          <w:b/>
          <w:kern w:val="0"/>
          <w:sz w:val="44"/>
          <w:szCs w:val="44"/>
          <w:lang w:val="en-US" w:eastAsia="zh-CN"/>
        </w:rPr>
      </w:pPr>
      <w:bookmarkStart w:id="0" w:name="OLE_LINK4"/>
      <w:r>
        <w:rPr>
          <w:rFonts w:hint="eastAsia" w:ascii="宋体" w:hAnsi="宋体" w:cs="宋体"/>
          <w:b/>
          <w:kern w:val="0"/>
          <w:sz w:val="44"/>
          <w:szCs w:val="44"/>
        </w:rPr>
        <w:t>嵊州市人民医院</w:t>
      </w:r>
      <w:r>
        <w:rPr>
          <w:rFonts w:hint="eastAsia" w:ascii="宋体" w:hAnsi="宋体" w:cs="宋体"/>
          <w:b/>
          <w:kern w:val="0"/>
          <w:sz w:val="44"/>
          <w:szCs w:val="44"/>
          <w:lang w:val="en-US" w:eastAsia="zh-CN"/>
        </w:rPr>
        <w:t>激光生发仪（第二次）</w:t>
      </w:r>
    </w:p>
    <w:p>
      <w:pPr>
        <w:spacing w:line="700" w:lineRule="exact"/>
        <w:jc w:val="center"/>
        <w:rPr>
          <w:rFonts w:hint="eastAsia" w:ascii="宋体" w:hAnsi="宋体" w:cs="宋体"/>
          <w:b/>
          <w:kern w:val="0"/>
          <w:sz w:val="44"/>
          <w:szCs w:val="44"/>
        </w:rPr>
      </w:pPr>
      <w:r>
        <w:rPr>
          <w:rFonts w:hint="eastAsia" w:ascii="宋体" w:hAnsi="宋体" w:cs="宋体"/>
          <w:b/>
          <w:kern w:val="0"/>
          <w:sz w:val="44"/>
          <w:szCs w:val="44"/>
        </w:rPr>
        <w:t>院内采购项目</w:t>
      </w:r>
    </w:p>
    <w:bookmarkEnd w:id="0"/>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rPr>
        <w:t>0</w:t>
      </w:r>
      <w:r>
        <w:rPr>
          <w:rFonts w:hint="eastAsia" w:ascii="宋体" w:hAnsi="宋体" w:cs="宋体"/>
          <w:sz w:val="36"/>
          <w:lang w:val="en-US" w:eastAsia="zh-CN"/>
        </w:rPr>
        <w:t>6</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1" w:name="用户单位名称"/>
      <w:bookmarkEnd w:id="1"/>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8</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eastAsia" w:ascii="宋体" w:hAnsi="宋体" w:eastAsia="宋体"/>
          <w:szCs w:val="21"/>
          <w:lang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rPr>
        <w:t>0</w:t>
      </w:r>
      <w:r>
        <w:rPr>
          <w:rFonts w:hint="eastAsia" w:ascii="宋体" w:hAnsi="宋体" w:eastAsia="宋体"/>
          <w:szCs w:val="21"/>
          <w:lang w:val="en-US" w:eastAsia="zh-CN"/>
        </w:rPr>
        <w:t>6</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7160" w:type="dxa"/>
        <w:tblInd w:w="113" w:type="dxa"/>
        <w:tblLayout w:type="autofit"/>
        <w:tblCellMar>
          <w:top w:w="0" w:type="dxa"/>
          <w:left w:w="108" w:type="dxa"/>
          <w:bottom w:w="0" w:type="dxa"/>
          <w:right w:w="108" w:type="dxa"/>
        </w:tblCellMar>
      </w:tblPr>
      <w:tblGrid>
        <w:gridCol w:w="562"/>
        <w:gridCol w:w="2048"/>
        <w:gridCol w:w="622"/>
        <w:gridCol w:w="1121"/>
        <w:gridCol w:w="1244"/>
        <w:gridCol w:w="1563"/>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激光生发仪</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台</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80000元</w:t>
            </w:r>
          </w:p>
        </w:tc>
        <w:tc>
          <w:tcPr>
            <w:tcW w:w="15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日 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2"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2"/>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8</w:t>
      </w:r>
      <w:r>
        <w:rPr>
          <w:rFonts w:hint="eastAsia" w:ascii="宋体" w:hAnsi="宋体" w:eastAsia="宋体" w:cs="宋体"/>
          <w:kern w:val="0"/>
          <w:szCs w:val="21"/>
        </w:rPr>
        <w:t>月</w:t>
      </w:r>
      <w:r>
        <w:rPr>
          <w:rFonts w:hint="eastAsia" w:ascii="宋体" w:hAnsi="宋体" w:eastAsia="宋体" w:cs="宋体"/>
          <w:kern w:val="0"/>
          <w:szCs w:val="21"/>
          <w:lang w:val="en-US" w:eastAsia="zh-CN"/>
        </w:rPr>
        <w:t>12</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8</w:t>
      </w:r>
      <w:r>
        <w:rPr>
          <w:rFonts w:hint="eastAsia" w:ascii="宋体" w:hAnsi="宋体" w:eastAsia="宋体" w:cs="宋体"/>
          <w:kern w:val="0"/>
          <w:szCs w:val="21"/>
        </w:rPr>
        <w:t>月</w:t>
      </w:r>
      <w:r>
        <w:rPr>
          <w:rFonts w:hint="eastAsia" w:ascii="宋体" w:hAnsi="宋体" w:eastAsia="宋体" w:cs="宋体"/>
          <w:kern w:val="0"/>
          <w:szCs w:val="21"/>
          <w:lang w:val="en-US" w:eastAsia="zh-CN"/>
        </w:rPr>
        <w:t>12</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4</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eastAsia" w:ascii="宋体" w:hAnsi="宋体" w:eastAsia="宋体" w:cs="宋体"/>
          <w:kern w:val="0"/>
          <w:sz w:val="24"/>
          <w:szCs w:val="24"/>
          <w:lang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：激光生发仪</w:t>
      </w:r>
    </w:p>
    <w:p>
      <w:pPr>
        <w:spacing w:line="500" w:lineRule="exact"/>
        <w:rPr>
          <w:rFonts w:hint="default" w:ascii="宋体" w:hAnsi="宋体" w:eastAsia="宋体" w:cs="宋体"/>
          <w:b/>
          <w:bCs/>
          <w:kern w:val="0"/>
          <w:sz w:val="24"/>
          <w:szCs w:val="24"/>
          <w:lang w:val="en-US" w:eastAsia="zh-CN"/>
        </w:rPr>
      </w:pPr>
      <w:r>
        <w:rPr>
          <w:rFonts w:hint="eastAsia" w:ascii="宋体" w:hAnsi="宋体" w:eastAsia="宋体" w:cs="宋体"/>
          <w:kern w:val="0"/>
          <w:sz w:val="24"/>
          <w:szCs w:val="24"/>
          <w:lang w:val="en-US" w:eastAsia="zh-CN"/>
        </w:rPr>
        <w:t>2.提供自2022年7月1日以来所投产品在三级医院成功业绩大于等</w:t>
      </w:r>
      <w:bookmarkStart w:id="51" w:name="_GoBack"/>
      <w:bookmarkEnd w:id="51"/>
      <w:r>
        <w:rPr>
          <w:rFonts w:hint="eastAsia" w:ascii="宋体" w:hAnsi="宋体" w:eastAsia="宋体" w:cs="宋体"/>
          <w:kern w:val="0"/>
          <w:sz w:val="24"/>
          <w:szCs w:val="24"/>
          <w:lang w:val="en-US" w:eastAsia="zh-CN"/>
        </w:rPr>
        <w:t>于五份以上（不要求必须是投标人的，同个厂家同型号即可）（提供销售合同）</w:t>
      </w:r>
    </w:p>
    <w:p>
      <w:pPr>
        <w:spacing w:line="500" w:lineRule="exac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3.激光生发仪基本要求：（提供厂家说明书或彩页等证明材料）</w:t>
      </w:r>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3.1激光波长≥670nm，</w:t>
      </w:r>
    </w:p>
    <w:p>
      <w:pPr>
        <w:spacing w:line="5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3.2激光颗数≥362颗，</w:t>
      </w:r>
    </w:p>
    <w:p>
      <w:pPr>
        <w:spacing w:line="500" w:lineRule="exact"/>
        <w:rPr>
          <w:rFonts w:hint="default" w:ascii="宋体" w:hAnsi="宋体" w:eastAsia="宋体" w:cs="宋体"/>
          <w:kern w:val="0"/>
          <w:sz w:val="24"/>
          <w:szCs w:val="24"/>
          <w:lang w:val="en-US"/>
        </w:rPr>
      </w:pPr>
      <w:r>
        <w:rPr>
          <w:rFonts w:hint="eastAsia" w:ascii="宋体" w:hAnsi="宋体" w:eastAsia="宋体" w:cs="宋体"/>
          <w:kern w:val="0"/>
          <w:sz w:val="24"/>
          <w:szCs w:val="24"/>
          <w:lang w:val="en-US" w:eastAsia="zh-CN"/>
        </w:rPr>
        <w:t>3.3单颗激光功率≥5mW</w:t>
      </w:r>
    </w:p>
    <w:p>
      <w:pPr>
        <w:numPr>
          <w:ilvl w:val="0"/>
          <w:numId w:val="1"/>
        </w:numPr>
        <w:spacing w:line="500" w:lineRule="exact"/>
        <w:rPr>
          <w:rFonts w:ascii="宋体" w:hAnsi="宋体" w:eastAsia="宋体" w:cs="宋体"/>
          <w:kern w:val="0"/>
          <w:sz w:val="24"/>
          <w:szCs w:val="24"/>
        </w:rPr>
      </w:pP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.投标人投标提供的设备必须是厂商原装的、全新的，型号、性能及指标符合国家及招标文件提出的有关技术、质量、安全标准。</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6</w:t>
      </w:r>
      <w:r>
        <w:rPr>
          <w:rFonts w:ascii="宋体" w:hAnsi="宋体" w:eastAsia="宋体" w:cs="宋体"/>
          <w:kern w:val="0"/>
          <w:sz w:val="24"/>
          <w:szCs w:val="24"/>
        </w:rPr>
        <w:t>.所有设备在开箱检验时必须完好，无破损，配置与装箱单相符。</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7</w:t>
      </w:r>
      <w:r>
        <w:rPr>
          <w:rFonts w:ascii="宋体" w:hAnsi="宋体" w:eastAsia="宋体" w:cs="宋体"/>
          <w:kern w:val="0"/>
          <w:sz w:val="24"/>
          <w:szCs w:val="24"/>
        </w:rPr>
        <w:t>.设备外观清洁，标记编号以及盘面显示等字体清晰，明确。铭牌、使用指示、警告指示应以中文或英文及易懂的通用符号来表示；应准确无误地表明设备之型号、规格、制造厂及生产或出厂日期。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8</w:t>
      </w:r>
      <w:r>
        <w:rPr>
          <w:rFonts w:ascii="宋体" w:hAnsi="宋体" w:eastAsia="宋体" w:cs="宋体"/>
          <w:kern w:val="0"/>
          <w:sz w:val="24"/>
          <w:szCs w:val="24"/>
        </w:rPr>
        <w:t>.对于影响设备正常工作的必要组成部分，无论在技术规范中指出与否，投标人都应提供并在投标文件中明确列出。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9</w:t>
      </w:r>
      <w:r>
        <w:rPr>
          <w:rFonts w:ascii="宋体" w:hAnsi="宋体" w:eastAsia="宋体" w:cs="宋体"/>
          <w:kern w:val="0"/>
          <w:sz w:val="24"/>
          <w:szCs w:val="24"/>
        </w:rPr>
        <w:t>.所有货物提供出厂合格证等质量证明文件，国外生产的必须有合法的进货渠道证明，如海关报关单、原产地证明、商检证明等。</w:t>
      </w:r>
    </w:p>
    <w:p>
      <w:pPr>
        <w:numPr>
          <w:ilvl w:val="0"/>
          <w:numId w:val="0"/>
        </w:numPr>
        <w:spacing w:line="500" w:lineRule="exact"/>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10.所投产品需符合基本要求，不符合的做无效标处理。</w:t>
      </w:r>
    </w:p>
    <w:p>
      <w:pPr>
        <w:spacing w:line="500" w:lineRule="exact"/>
        <w:rPr>
          <w:rFonts w:ascii="宋体" w:hAnsi="宋体" w:eastAsia="宋体" w:cs="宋体"/>
          <w:kern w:val="0"/>
          <w:sz w:val="24"/>
          <w:szCs w:val="24"/>
        </w:rPr>
      </w:pPr>
      <w:bookmarkStart w:id="3" w:name="_Toc35261573"/>
      <w:bookmarkStart w:id="4" w:name="_Toc450482498"/>
      <w:r>
        <w:rPr>
          <w:rFonts w:hint="eastAsia" w:ascii="宋体" w:hAnsi="宋体" w:eastAsia="宋体" w:cs="宋体"/>
          <w:kern w:val="0"/>
          <w:sz w:val="24"/>
          <w:szCs w:val="24"/>
        </w:rPr>
        <w:t>二、投标文件</w:t>
      </w:r>
      <w:bookmarkEnd w:id="3"/>
      <w:bookmarkEnd w:id="4"/>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2"/>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2"/>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2"/>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5" w:name="_Toc498451751"/>
      <w:bookmarkStart w:id="6" w:name="_Toc340322168"/>
      <w:bookmarkStart w:id="7" w:name="_Toc339302129"/>
      <w:bookmarkStart w:id="8" w:name="_Toc226337773"/>
      <w:bookmarkStart w:id="9" w:name="_Toc248065051"/>
      <w:bookmarkStart w:id="10" w:name="_Toc180555932"/>
      <w:bookmarkStart w:id="11" w:name="_Toc304551314"/>
      <w:bookmarkStart w:id="12" w:name="_Toc3910"/>
      <w:bookmarkStart w:id="13" w:name="_Toc340321913"/>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5"/>
      <w:bookmarkEnd w:id="6"/>
      <w:bookmarkEnd w:id="7"/>
      <w:bookmarkEnd w:id="8"/>
      <w:bookmarkEnd w:id="9"/>
      <w:bookmarkEnd w:id="10"/>
      <w:bookmarkEnd w:id="11"/>
      <w:bookmarkEnd w:id="12"/>
      <w:bookmarkEnd w:id="13"/>
    </w:p>
    <w:p>
      <w:pPr>
        <w:keepNext/>
        <w:keepLines/>
        <w:tabs>
          <w:tab w:val="left" w:pos="1198"/>
        </w:tabs>
        <w:spacing w:before="120" w:line="460" w:lineRule="exact"/>
        <w:ind w:left="568"/>
        <w:outlineLvl w:val="3"/>
        <w:rPr>
          <w:rFonts w:ascii="宋体" w:hAnsi="宋体" w:eastAsia="宋体" w:cs="宋体"/>
          <w:bCs/>
          <w:sz w:val="24"/>
          <w:szCs w:val="24"/>
        </w:rPr>
      </w:pPr>
      <w:bookmarkStart w:id="14" w:name="_Toc226337774"/>
      <w:bookmarkStart w:id="15" w:name="_Toc180555933"/>
      <w:bookmarkStart w:id="16" w:name="_Toc248065052"/>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4"/>
      <w:bookmarkEnd w:id="15"/>
      <w:bookmarkEnd w:id="16"/>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bCs/>
          <w:sz w:val="24"/>
          <w:szCs w:val="24"/>
        </w:rPr>
      </w:pPr>
      <w:bookmarkStart w:id="17" w:name="_Toc24821"/>
      <w:bookmarkStart w:id="18" w:name="_Toc480884148"/>
      <w:bookmarkStart w:id="19" w:name="_Toc2165"/>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7"/>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8"/>
      <w:bookmarkEnd w:id="19"/>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w:t>
      </w:r>
      <w:r>
        <w:rPr>
          <w:rFonts w:hint="eastAsia" w:ascii="宋体" w:hAnsi="宋体" w:eastAsia="宋体"/>
          <w:sz w:val="24"/>
          <w:szCs w:val="24"/>
          <w:lang w:val="en-US" w:eastAsia="zh-CN"/>
        </w:rPr>
        <w:t>激光生发仪（第二次）</w:t>
      </w:r>
      <w:r>
        <w:rPr>
          <w:rFonts w:hint="eastAsia" w:ascii="宋体" w:hAnsi="宋体" w:eastAsia="宋体"/>
          <w:sz w:val="24"/>
          <w:szCs w:val="24"/>
        </w:rPr>
        <w:t>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0" w:name="_Toc340322187"/>
      <w:bookmarkStart w:id="21" w:name="_Toc340321932"/>
      <w:bookmarkStart w:id="22" w:name="_Toc480884150"/>
      <w:bookmarkStart w:id="23" w:name="_Toc339302148"/>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0"/>
      <w:bookmarkEnd w:id="21"/>
      <w:bookmarkEnd w:id="22"/>
      <w:bookmarkEnd w:id="23"/>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4" w:name="_Toc226337797"/>
      <w:bookmarkStart w:id="25" w:name="_Toc180555955"/>
      <w:bookmarkStart w:id="26" w:name="_Toc248065075"/>
    </w:p>
    <w:p>
      <w:pPr>
        <w:spacing w:line="460" w:lineRule="exact"/>
        <w:ind w:firstLine="482" w:firstLineChars="200"/>
        <w:rPr>
          <w:rFonts w:ascii="宋体" w:hAnsi="宋体" w:eastAsia="宋体"/>
          <w:b/>
          <w:sz w:val="24"/>
          <w:szCs w:val="24"/>
        </w:rPr>
      </w:pPr>
      <w:bookmarkStart w:id="27" w:name="_Toc340322186"/>
      <w:bookmarkStart w:id="28" w:name="_Toc480884149"/>
      <w:bookmarkStart w:id="29" w:name="_Toc339302147"/>
      <w:bookmarkStart w:id="30" w:name="_Toc180555954"/>
      <w:bookmarkStart w:id="31" w:name="_Toc32609"/>
      <w:bookmarkStart w:id="32" w:name="_Toc340321931"/>
      <w:r>
        <w:rPr>
          <w:rFonts w:hint="eastAsia" w:ascii="宋体" w:hAnsi="宋体" w:eastAsia="宋体"/>
          <w:b/>
          <w:sz w:val="24"/>
          <w:szCs w:val="24"/>
        </w:rPr>
        <w:t>附件三、法定代表人授权委托书</w:t>
      </w:r>
      <w:bookmarkEnd w:id="27"/>
      <w:bookmarkEnd w:id="28"/>
      <w:bookmarkEnd w:id="29"/>
      <w:bookmarkEnd w:id="30"/>
      <w:bookmarkEnd w:id="31"/>
      <w:bookmarkEnd w:id="32"/>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4"/>
    <w:bookmarkEnd w:id="25"/>
    <w:bookmarkEnd w:id="26"/>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3" w:name="_Toc226337800"/>
      <w:bookmarkStart w:id="34" w:name="_Toc487553574"/>
      <w:bookmarkStart w:id="35" w:name="_Toc248065078"/>
      <w:bookmarkStart w:id="36" w:name="_Toc180555958"/>
      <w:bookmarkStart w:id="37" w:name="_Toc22159"/>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8" w:name="_Toc9069"/>
      <w:bookmarkStart w:id="39" w:name="_Toc498451766"/>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3"/>
      <w:bookmarkEnd w:id="34"/>
      <w:bookmarkEnd w:id="35"/>
      <w:bookmarkEnd w:id="36"/>
      <w:bookmarkEnd w:id="37"/>
      <w:bookmarkEnd w:id="38"/>
      <w:bookmarkEnd w:id="39"/>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0" w:name="_Toc339302149"/>
      <w:bookmarkStart w:id="41" w:name="_Toc16808"/>
      <w:bookmarkStart w:id="42" w:name="_Toc340322188"/>
      <w:bookmarkStart w:id="43" w:name="_Toc480884151"/>
      <w:bookmarkStart w:id="44" w:name="_Toc340321933"/>
      <w:r>
        <w:rPr>
          <w:rFonts w:hint="eastAsia" w:ascii="宋体" w:hAnsi="宋体" w:eastAsia="宋体"/>
          <w:b/>
          <w:sz w:val="24"/>
          <w:szCs w:val="24"/>
        </w:rPr>
        <w:t>附件八、开标一览表</w:t>
      </w:r>
      <w:bookmarkEnd w:id="40"/>
      <w:bookmarkEnd w:id="41"/>
      <w:bookmarkEnd w:id="42"/>
      <w:bookmarkEnd w:id="43"/>
      <w:bookmarkEnd w:id="44"/>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w:t>
      </w:r>
      <w:r>
        <w:rPr>
          <w:rFonts w:hint="eastAsia" w:ascii="宋体" w:hAnsi="宋体" w:eastAsia="宋体"/>
          <w:b/>
          <w:bCs/>
          <w:sz w:val="24"/>
          <w:szCs w:val="24"/>
          <w:u w:val="single"/>
          <w:lang w:val="en-US" w:eastAsia="zh-CN"/>
        </w:rPr>
        <w:t>激光生发仪（第二次）</w:t>
      </w:r>
      <w:r>
        <w:rPr>
          <w:rFonts w:hint="eastAsia" w:ascii="宋体" w:hAnsi="宋体" w:eastAsia="宋体"/>
          <w:b/>
          <w:bCs/>
          <w:sz w:val="24"/>
          <w:szCs w:val="24"/>
          <w:u w:val="single"/>
        </w:rPr>
        <w:t>院内采购项目</w:t>
      </w:r>
    </w:p>
    <w:p>
      <w:pPr>
        <w:ind w:right="480"/>
        <w:rPr>
          <w:rFonts w:hint="eastAsia"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6</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hint="eastAsia" w:ascii="宋体" w:hAnsi="宋体" w:eastAsia="宋体"/>
          <w:b/>
          <w:sz w:val="24"/>
          <w:szCs w:val="24"/>
        </w:rPr>
      </w:pPr>
      <w:bookmarkStart w:id="45" w:name="_Toc480884152"/>
    </w:p>
    <w:p>
      <w:pPr>
        <w:spacing w:line="460" w:lineRule="exact"/>
        <w:ind w:firstLine="482" w:firstLineChars="200"/>
        <w:rPr>
          <w:rFonts w:ascii="宋体" w:hAnsi="宋体" w:eastAsia="宋体"/>
          <w:sz w:val="24"/>
          <w:szCs w:val="24"/>
        </w:rPr>
      </w:pPr>
      <w:r>
        <w:rPr>
          <w:rFonts w:hint="eastAsia" w:ascii="宋体" w:hAnsi="宋体" w:eastAsia="宋体"/>
          <w:b/>
          <w:sz w:val="24"/>
          <w:szCs w:val="24"/>
        </w:rPr>
        <w:t>附件九、投标报价明细表</w:t>
      </w:r>
      <w:bookmarkEnd w:id="45"/>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6" w:name="_Toc304551322"/>
      <w:bookmarkEnd w:id="46"/>
      <w:bookmarkStart w:id="47" w:name="_Toc180555956"/>
      <w:bookmarkEnd w:id="47"/>
      <w:bookmarkStart w:id="48" w:name="_Toc226337798"/>
      <w:bookmarkEnd w:id="48"/>
      <w:bookmarkStart w:id="49" w:name="_Toc248065076"/>
      <w:bookmarkEnd w:id="49"/>
      <w:bookmarkStart w:id="50" w:name="_Toc173507483"/>
      <w:bookmarkEnd w:id="50"/>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3A44AED6"/>
    <w:multiLevelType w:val="singleLevel"/>
    <w:tmpl w:val="3A44AED6"/>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13C444B"/>
    <w:rsid w:val="02C03672"/>
    <w:rsid w:val="031D702B"/>
    <w:rsid w:val="032E18FF"/>
    <w:rsid w:val="049875C5"/>
    <w:rsid w:val="053960A1"/>
    <w:rsid w:val="06EC5870"/>
    <w:rsid w:val="07774812"/>
    <w:rsid w:val="09483FB6"/>
    <w:rsid w:val="09921243"/>
    <w:rsid w:val="0C013541"/>
    <w:rsid w:val="0C910C07"/>
    <w:rsid w:val="0CA27847"/>
    <w:rsid w:val="0D34529F"/>
    <w:rsid w:val="0D4F305F"/>
    <w:rsid w:val="0D72249E"/>
    <w:rsid w:val="0DB136CE"/>
    <w:rsid w:val="0E1B1632"/>
    <w:rsid w:val="103D5E34"/>
    <w:rsid w:val="108A05B8"/>
    <w:rsid w:val="10F0539D"/>
    <w:rsid w:val="11AB188E"/>
    <w:rsid w:val="12BF484E"/>
    <w:rsid w:val="13DE0B49"/>
    <w:rsid w:val="14E21050"/>
    <w:rsid w:val="14EA3EDE"/>
    <w:rsid w:val="16412291"/>
    <w:rsid w:val="17057A51"/>
    <w:rsid w:val="178F79B5"/>
    <w:rsid w:val="17D854D6"/>
    <w:rsid w:val="19800165"/>
    <w:rsid w:val="1A5326BB"/>
    <w:rsid w:val="1B956B70"/>
    <w:rsid w:val="1CEF6B87"/>
    <w:rsid w:val="1D617DC0"/>
    <w:rsid w:val="1E803A9B"/>
    <w:rsid w:val="1E9858BE"/>
    <w:rsid w:val="1F3D145F"/>
    <w:rsid w:val="1F5F0B35"/>
    <w:rsid w:val="20E45483"/>
    <w:rsid w:val="2107473E"/>
    <w:rsid w:val="21BB54E6"/>
    <w:rsid w:val="22BE57D3"/>
    <w:rsid w:val="2445130D"/>
    <w:rsid w:val="24AF0728"/>
    <w:rsid w:val="2547654F"/>
    <w:rsid w:val="261E75F5"/>
    <w:rsid w:val="281100C9"/>
    <w:rsid w:val="29415F58"/>
    <w:rsid w:val="29DE193E"/>
    <w:rsid w:val="29FD7B7F"/>
    <w:rsid w:val="2A17081E"/>
    <w:rsid w:val="2A467631"/>
    <w:rsid w:val="2A554419"/>
    <w:rsid w:val="2A8C4F5A"/>
    <w:rsid w:val="2AB22C1B"/>
    <w:rsid w:val="2BBD43D2"/>
    <w:rsid w:val="2C276000"/>
    <w:rsid w:val="2C3C240E"/>
    <w:rsid w:val="2CB43665"/>
    <w:rsid w:val="2D3816C0"/>
    <w:rsid w:val="2D726F1C"/>
    <w:rsid w:val="2E51235A"/>
    <w:rsid w:val="2E6835F9"/>
    <w:rsid w:val="2F157562"/>
    <w:rsid w:val="2F464BF2"/>
    <w:rsid w:val="2F874408"/>
    <w:rsid w:val="300F0E69"/>
    <w:rsid w:val="30992DCA"/>
    <w:rsid w:val="30EB624E"/>
    <w:rsid w:val="310F0A0C"/>
    <w:rsid w:val="317A747F"/>
    <w:rsid w:val="33284D3C"/>
    <w:rsid w:val="33681E65"/>
    <w:rsid w:val="3415366C"/>
    <w:rsid w:val="34785525"/>
    <w:rsid w:val="34CE536E"/>
    <w:rsid w:val="35434A4D"/>
    <w:rsid w:val="358E506D"/>
    <w:rsid w:val="35BD6AB6"/>
    <w:rsid w:val="36DF7544"/>
    <w:rsid w:val="36EF24B4"/>
    <w:rsid w:val="3789295D"/>
    <w:rsid w:val="37CB6B3A"/>
    <w:rsid w:val="398843D5"/>
    <w:rsid w:val="39D304D0"/>
    <w:rsid w:val="3A6B16E8"/>
    <w:rsid w:val="3AB60324"/>
    <w:rsid w:val="3AD16E8E"/>
    <w:rsid w:val="3B017371"/>
    <w:rsid w:val="3CA80C93"/>
    <w:rsid w:val="3D6A0DD0"/>
    <w:rsid w:val="3DCC4178"/>
    <w:rsid w:val="3E986294"/>
    <w:rsid w:val="3F8F64D8"/>
    <w:rsid w:val="3FD633C9"/>
    <w:rsid w:val="40790653"/>
    <w:rsid w:val="407C66AE"/>
    <w:rsid w:val="40C06849"/>
    <w:rsid w:val="41796402"/>
    <w:rsid w:val="41F87A1B"/>
    <w:rsid w:val="43182221"/>
    <w:rsid w:val="43452E2C"/>
    <w:rsid w:val="446D1ED1"/>
    <w:rsid w:val="44E9469A"/>
    <w:rsid w:val="44F3082D"/>
    <w:rsid w:val="452C3E8A"/>
    <w:rsid w:val="45562AD0"/>
    <w:rsid w:val="468E27CD"/>
    <w:rsid w:val="47105324"/>
    <w:rsid w:val="483B1F59"/>
    <w:rsid w:val="48CF7884"/>
    <w:rsid w:val="49383A30"/>
    <w:rsid w:val="4AD77C59"/>
    <w:rsid w:val="4AED1DFC"/>
    <w:rsid w:val="4BAC56B3"/>
    <w:rsid w:val="4C2E020A"/>
    <w:rsid w:val="4CD7191D"/>
    <w:rsid w:val="4ECA0E53"/>
    <w:rsid w:val="4FD472B3"/>
    <w:rsid w:val="503500A5"/>
    <w:rsid w:val="5053280E"/>
    <w:rsid w:val="506D01FF"/>
    <w:rsid w:val="515E6CD3"/>
    <w:rsid w:val="51910362"/>
    <w:rsid w:val="51C51AB5"/>
    <w:rsid w:val="51EA4273"/>
    <w:rsid w:val="524B546F"/>
    <w:rsid w:val="52707679"/>
    <w:rsid w:val="527E6CE5"/>
    <w:rsid w:val="52AC7CC4"/>
    <w:rsid w:val="53DA11A0"/>
    <w:rsid w:val="548206B4"/>
    <w:rsid w:val="551B2E31"/>
    <w:rsid w:val="55E66A13"/>
    <w:rsid w:val="56245E64"/>
    <w:rsid w:val="562478D7"/>
    <w:rsid w:val="57FE14D7"/>
    <w:rsid w:val="5A553347"/>
    <w:rsid w:val="5A5752C7"/>
    <w:rsid w:val="5A951B44"/>
    <w:rsid w:val="5BBA168B"/>
    <w:rsid w:val="5BD02109"/>
    <w:rsid w:val="5C9E23A4"/>
    <w:rsid w:val="5D2D2508"/>
    <w:rsid w:val="5D675DE3"/>
    <w:rsid w:val="5E522595"/>
    <w:rsid w:val="5ED00919"/>
    <w:rsid w:val="5F9D47EA"/>
    <w:rsid w:val="60DA7A74"/>
    <w:rsid w:val="6127619E"/>
    <w:rsid w:val="615A3846"/>
    <w:rsid w:val="61E01520"/>
    <w:rsid w:val="61FA20CA"/>
    <w:rsid w:val="62325AA7"/>
    <w:rsid w:val="62857AB0"/>
    <w:rsid w:val="63EC3B7F"/>
    <w:rsid w:val="640C0830"/>
    <w:rsid w:val="641E0DFC"/>
    <w:rsid w:val="64787452"/>
    <w:rsid w:val="65302F12"/>
    <w:rsid w:val="66117C3F"/>
    <w:rsid w:val="674006F3"/>
    <w:rsid w:val="68845B0B"/>
    <w:rsid w:val="69B610FC"/>
    <w:rsid w:val="6A206232"/>
    <w:rsid w:val="6A763739"/>
    <w:rsid w:val="6AFC4C97"/>
    <w:rsid w:val="6B6D624F"/>
    <w:rsid w:val="6C8F3454"/>
    <w:rsid w:val="6DDC75D1"/>
    <w:rsid w:val="6E9C3493"/>
    <w:rsid w:val="6EDE2373"/>
    <w:rsid w:val="6FE55124"/>
    <w:rsid w:val="704F492D"/>
    <w:rsid w:val="70B25FF8"/>
    <w:rsid w:val="70E417C4"/>
    <w:rsid w:val="71327344"/>
    <w:rsid w:val="71706E29"/>
    <w:rsid w:val="717E19C2"/>
    <w:rsid w:val="71B82AA1"/>
    <w:rsid w:val="72783109"/>
    <w:rsid w:val="7312785A"/>
    <w:rsid w:val="73DF77B1"/>
    <w:rsid w:val="75F41B11"/>
    <w:rsid w:val="766B0856"/>
    <w:rsid w:val="78DD2859"/>
    <w:rsid w:val="78FF0A28"/>
    <w:rsid w:val="79AB41AB"/>
    <w:rsid w:val="7AD44F12"/>
    <w:rsid w:val="7B6E00D6"/>
    <w:rsid w:val="7EBC49AF"/>
    <w:rsid w:val="7EC47386"/>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21</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2025-08-04T03:19:49Z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