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C52" w:rsidRPr="004C3114" w:rsidRDefault="0089680C">
      <w:pPr>
        <w:jc w:val="center"/>
        <w:rPr>
          <w:b/>
          <w:sz w:val="28"/>
          <w:szCs w:val="28"/>
        </w:rPr>
      </w:pPr>
      <w:r w:rsidRPr="004C3114">
        <w:rPr>
          <w:rFonts w:hint="eastAsia"/>
          <w:b/>
          <w:sz w:val="28"/>
          <w:szCs w:val="28"/>
        </w:rPr>
        <w:t>嵊州市人</w:t>
      </w:r>
      <w:bookmarkStart w:id="0" w:name="_GoBack"/>
      <w:bookmarkEnd w:id="0"/>
      <w:r w:rsidRPr="004C3114">
        <w:rPr>
          <w:rFonts w:hint="eastAsia"/>
          <w:b/>
          <w:sz w:val="28"/>
          <w:szCs w:val="28"/>
        </w:rPr>
        <w:t>民医院</w:t>
      </w:r>
      <w:r w:rsidR="00EE279A" w:rsidRPr="004C3114">
        <w:rPr>
          <w:rFonts w:hint="eastAsia"/>
          <w:b/>
          <w:sz w:val="28"/>
          <w:szCs w:val="28"/>
        </w:rPr>
        <w:t>UPS</w:t>
      </w:r>
      <w:r w:rsidRPr="004C3114">
        <w:rPr>
          <w:rFonts w:hint="eastAsia"/>
          <w:b/>
          <w:sz w:val="28"/>
          <w:szCs w:val="28"/>
        </w:rPr>
        <w:t>电池</w:t>
      </w:r>
      <w:r w:rsidR="004C3114" w:rsidRPr="004C3114">
        <w:rPr>
          <w:rFonts w:hint="eastAsia"/>
          <w:b/>
          <w:sz w:val="28"/>
          <w:szCs w:val="28"/>
        </w:rPr>
        <w:t>更换采购项目市场调研</w:t>
      </w:r>
      <w:r w:rsidR="00CF4DC4" w:rsidRPr="004C3114">
        <w:rPr>
          <w:rFonts w:hint="eastAsia"/>
          <w:b/>
          <w:sz w:val="28"/>
          <w:szCs w:val="28"/>
        </w:rPr>
        <w:t>报价</w:t>
      </w:r>
      <w:r w:rsidR="004C3114" w:rsidRPr="004C3114">
        <w:rPr>
          <w:rFonts w:hint="eastAsia"/>
          <w:b/>
          <w:sz w:val="28"/>
          <w:szCs w:val="28"/>
        </w:rPr>
        <w:t>表</w:t>
      </w:r>
    </w:p>
    <w:tbl>
      <w:tblPr>
        <w:tblpPr w:leftFromText="180" w:rightFromText="180" w:vertAnchor="text" w:tblpX="93" w:tblpY="1"/>
        <w:tblOverlap w:val="neve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
        <w:gridCol w:w="1646"/>
        <w:gridCol w:w="4440"/>
        <w:gridCol w:w="669"/>
        <w:gridCol w:w="546"/>
        <w:gridCol w:w="672"/>
        <w:gridCol w:w="1196"/>
      </w:tblGrid>
      <w:tr w:rsidR="004C3114" w:rsidTr="004C3114">
        <w:trPr>
          <w:trHeight w:val="1124"/>
        </w:trPr>
        <w:tc>
          <w:tcPr>
            <w:tcW w:w="685" w:type="dxa"/>
            <w:shd w:val="clear" w:color="auto" w:fill="auto"/>
            <w:noWrap/>
            <w:vAlign w:val="center"/>
          </w:tcPr>
          <w:p w:rsidR="004C3114" w:rsidRDefault="004C3114">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序号</w:t>
            </w:r>
          </w:p>
        </w:tc>
        <w:tc>
          <w:tcPr>
            <w:tcW w:w="1646" w:type="dxa"/>
            <w:shd w:val="clear" w:color="auto" w:fill="auto"/>
            <w:noWrap/>
            <w:vAlign w:val="center"/>
          </w:tcPr>
          <w:p w:rsidR="004C3114" w:rsidRDefault="004C3114">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品牌型号</w:t>
            </w:r>
          </w:p>
        </w:tc>
        <w:tc>
          <w:tcPr>
            <w:tcW w:w="4440" w:type="dxa"/>
            <w:shd w:val="clear" w:color="auto" w:fill="auto"/>
            <w:noWrap/>
            <w:vAlign w:val="center"/>
          </w:tcPr>
          <w:p w:rsidR="004C3114" w:rsidRDefault="004C3114">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参数要求</w:t>
            </w:r>
          </w:p>
        </w:tc>
        <w:tc>
          <w:tcPr>
            <w:tcW w:w="669" w:type="dxa"/>
          </w:tcPr>
          <w:p w:rsidR="004C3114" w:rsidRDefault="004C3114" w:rsidP="004C3114">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参数要求响应情况</w:t>
            </w:r>
          </w:p>
        </w:tc>
        <w:tc>
          <w:tcPr>
            <w:tcW w:w="546" w:type="dxa"/>
            <w:shd w:val="clear" w:color="auto" w:fill="auto"/>
            <w:noWrap/>
            <w:vAlign w:val="center"/>
          </w:tcPr>
          <w:p w:rsidR="004C3114" w:rsidRDefault="004C3114">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数量</w:t>
            </w:r>
          </w:p>
        </w:tc>
        <w:tc>
          <w:tcPr>
            <w:tcW w:w="672" w:type="dxa"/>
            <w:shd w:val="clear" w:color="auto" w:fill="auto"/>
            <w:noWrap/>
            <w:vAlign w:val="center"/>
          </w:tcPr>
          <w:p w:rsidR="004C3114" w:rsidRDefault="004C3114">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单价</w:t>
            </w:r>
          </w:p>
        </w:tc>
        <w:tc>
          <w:tcPr>
            <w:tcW w:w="1196" w:type="dxa"/>
            <w:shd w:val="clear" w:color="auto" w:fill="auto"/>
            <w:noWrap/>
            <w:vAlign w:val="center"/>
          </w:tcPr>
          <w:p w:rsidR="004C3114" w:rsidRDefault="004C3114">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小计</w:t>
            </w:r>
          </w:p>
        </w:tc>
      </w:tr>
      <w:tr w:rsidR="004C3114" w:rsidTr="004C3114">
        <w:trPr>
          <w:trHeight w:val="2117"/>
        </w:trPr>
        <w:tc>
          <w:tcPr>
            <w:tcW w:w="685" w:type="dxa"/>
            <w:shd w:val="clear" w:color="auto" w:fill="auto"/>
            <w:noWrap/>
            <w:vAlign w:val="center"/>
          </w:tcPr>
          <w:p w:rsidR="004C3114" w:rsidRDefault="004C3114">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w:t>
            </w:r>
          </w:p>
        </w:tc>
        <w:tc>
          <w:tcPr>
            <w:tcW w:w="1646" w:type="dxa"/>
            <w:shd w:val="clear" w:color="auto" w:fill="auto"/>
            <w:noWrap/>
            <w:vAlign w:val="center"/>
          </w:tcPr>
          <w:p w:rsidR="004C3114" w:rsidRDefault="004C3114">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（12V/100AH）</w:t>
            </w:r>
          </w:p>
        </w:tc>
        <w:tc>
          <w:tcPr>
            <w:tcW w:w="4440" w:type="dxa"/>
            <w:vMerge w:val="restart"/>
            <w:shd w:val="clear" w:color="auto" w:fill="auto"/>
            <w:vAlign w:val="center"/>
          </w:tcPr>
          <w:p w:rsidR="004C3114" w:rsidRPr="004C3114" w:rsidRDefault="004C3114">
            <w:pPr>
              <w:widowControl/>
              <w:spacing w:after="240"/>
              <w:jc w:val="left"/>
              <w:rPr>
                <w:rFonts w:ascii="宋体" w:eastAsia="宋体" w:hAnsi="宋体" w:cs="宋体"/>
                <w:color w:val="000000"/>
                <w:kern w:val="0"/>
                <w:sz w:val="20"/>
                <w:szCs w:val="20"/>
              </w:rPr>
            </w:pPr>
            <w:r w:rsidRPr="004C3114">
              <w:rPr>
                <w:rFonts w:ascii="宋体" w:eastAsia="宋体" w:hAnsi="宋体" w:cs="宋体" w:hint="eastAsia"/>
                <w:color w:val="000000"/>
                <w:kern w:val="0"/>
                <w:sz w:val="20"/>
                <w:szCs w:val="20"/>
              </w:rPr>
              <w:t>1、蓄电池为阀控式铅酸蓄电池，极板采用铅钙合金极</w:t>
            </w:r>
            <w:r w:rsidRPr="004C3114">
              <w:rPr>
                <w:rFonts w:ascii="宋体" w:eastAsia="宋体" w:hAnsi="宋体" w:cs="宋体" w:hint="eastAsia"/>
                <w:kern w:val="0"/>
                <w:sz w:val="20"/>
                <w:szCs w:val="20"/>
              </w:rPr>
              <w:t>板。</w:t>
            </w:r>
            <w:r w:rsidRPr="004C3114">
              <w:rPr>
                <w:rFonts w:ascii="宋体" w:eastAsia="宋体" w:hAnsi="宋体" w:cs="宋体" w:hint="eastAsia"/>
                <w:kern w:val="0"/>
                <w:sz w:val="20"/>
                <w:szCs w:val="20"/>
              </w:rPr>
              <w:br/>
              <w:t>2、蓄电池的浮充期待寿命10年，蓄电池能在-15～+45ºC环境条件下正常工作。</w:t>
            </w:r>
            <w:r w:rsidRPr="004C3114">
              <w:rPr>
                <w:rFonts w:ascii="宋体" w:eastAsia="宋体" w:hAnsi="宋体" w:cs="宋体" w:hint="eastAsia"/>
                <w:kern w:val="0"/>
                <w:sz w:val="20"/>
                <w:szCs w:val="20"/>
              </w:rPr>
              <w:br/>
              <w:t>3、使用拉网极板生产工艺，极板片数或单元极板总面积与普通蓄电池相比，极板片数多、面积大，活性物质利用率高，提高蓄电池的放电特性，需提供板栅合金专利。</w:t>
            </w:r>
            <w:r w:rsidRPr="004C3114">
              <w:rPr>
                <w:rFonts w:ascii="宋体" w:eastAsia="宋体" w:hAnsi="宋体" w:cs="宋体" w:hint="eastAsia"/>
                <w:kern w:val="0"/>
                <w:sz w:val="20"/>
                <w:szCs w:val="20"/>
              </w:rPr>
              <w:br/>
              <w:t>4、电池极柱（端子）部分有防漏液的设计，要求提供完整的专利文件（提供厂家自主专利的专利证书复印件，并原厂盖章确认）。</w:t>
            </w:r>
            <w:r w:rsidRPr="004C3114">
              <w:rPr>
                <w:rFonts w:ascii="宋体" w:eastAsia="宋体" w:hAnsi="宋体" w:cs="宋体" w:hint="eastAsia"/>
                <w:kern w:val="0"/>
                <w:sz w:val="20"/>
                <w:szCs w:val="20"/>
              </w:rPr>
              <w:br/>
              <w:t>5、单体蓄电池内部极板片数≥25片每单元。</w:t>
            </w:r>
            <w:r w:rsidRPr="004C3114">
              <w:rPr>
                <w:rFonts w:ascii="宋体" w:eastAsia="宋体" w:hAnsi="宋体" w:cs="宋体" w:hint="eastAsia"/>
                <w:kern w:val="0"/>
                <w:sz w:val="20"/>
                <w:szCs w:val="20"/>
              </w:rPr>
              <w:br/>
              <w:t>6、蓄电池采用跨桥式连接构造。</w:t>
            </w:r>
            <w:r w:rsidRPr="004C3114">
              <w:rPr>
                <w:rFonts w:ascii="宋体" w:eastAsia="宋体" w:hAnsi="宋体" w:cs="宋体" w:hint="eastAsia"/>
                <w:kern w:val="0"/>
                <w:sz w:val="20"/>
                <w:szCs w:val="20"/>
              </w:rPr>
              <w:br/>
              <w:t>7、大电流放电：蓄电池以30 I10A放电3min，极柱不熔断，其外观不应出现异常。</w:t>
            </w:r>
            <w:r w:rsidRPr="004C3114">
              <w:rPr>
                <w:rFonts w:ascii="宋体" w:eastAsia="宋体" w:hAnsi="宋体" w:cs="宋体" w:hint="eastAsia"/>
                <w:kern w:val="0"/>
                <w:sz w:val="20"/>
                <w:szCs w:val="20"/>
              </w:rPr>
              <w:br/>
              <w:t>8、过放电恢复性：蓄电池在过度放电后其容量恢复能力在90%以上。</w:t>
            </w:r>
            <w:r w:rsidRPr="004C3114">
              <w:rPr>
                <w:rFonts w:ascii="宋体" w:eastAsia="宋体" w:hAnsi="宋体" w:cs="宋体" w:hint="eastAsia"/>
                <w:kern w:val="0"/>
                <w:sz w:val="20"/>
                <w:szCs w:val="20"/>
              </w:rPr>
              <w:br/>
              <w:t>9、自放电剩余容量：3个月后达91%，6个月后达82%。</w:t>
            </w:r>
            <w:r w:rsidRPr="004C3114">
              <w:rPr>
                <w:rFonts w:ascii="宋体" w:eastAsia="宋体" w:hAnsi="宋体" w:cs="宋体" w:hint="eastAsia"/>
                <w:kern w:val="0"/>
                <w:sz w:val="20"/>
                <w:szCs w:val="20"/>
              </w:rPr>
              <w:br/>
              <w:t>10、封口剂性能：蓄电池在－30℃～65℃温度范围内，封口剂没有裂纹与溢流。</w:t>
            </w:r>
            <w:r w:rsidRPr="004C3114">
              <w:rPr>
                <w:rFonts w:ascii="宋体" w:eastAsia="宋体" w:hAnsi="宋体" w:cs="宋体" w:hint="eastAsia"/>
                <w:kern w:val="0"/>
                <w:sz w:val="20"/>
                <w:szCs w:val="20"/>
              </w:rPr>
              <w:br/>
              <w:t>11、阻燃性能：蓄电池槽盖应采用持久耐用并具有足够强度的ABS材料要求符合UL94-V0级阻燃级别（提供原厂盖章的测试报告）。</w:t>
            </w:r>
            <w:r w:rsidRPr="004C3114">
              <w:rPr>
                <w:rFonts w:ascii="宋体" w:eastAsia="宋体" w:hAnsi="宋体" w:cs="宋体" w:hint="eastAsia"/>
                <w:kern w:val="0"/>
                <w:sz w:val="20"/>
                <w:szCs w:val="20"/>
              </w:rPr>
              <w:br/>
              <w:t>12、安全阀：蓄电池应采用单向排气阀，安全阀开阀压力在15-35Kpa，闭阀压力在10-30Kpa。安全阀中需安装有防酸雾装置。</w:t>
            </w:r>
            <w:r w:rsidRPr="004C3114">
              <w:rPr>
                <w:rFonts w:ascii="宋体" w:eastAsia="宋体" w:hAnsi="宋体" w:cs="宋体" w:hint="eastAsia"/>
                <w:color w:val="000000"/>
                <w:kern w:val="0"/>
                <w:sz w:val="20"/>
                <w:szCs w:val="20"/>
              </w:rPr>
              <w:t>13、密封反应效率：蓄电池密封反应效率不低于98%。</w:t>
            </w:r>
            <w:r w:rsidRPr="004C3114">
              <w:rPr>
                <w:rFonts w:ascii="宋体" w:eastAsia="宋体" w:hAnsi="宋体" w:cs="宋体" w:hint="eastAsia"/>
                <w:color w:val="000000"/>
                <w:kern w:val="0"/>
                <w:sz w:val="20"/>
                <w:szCs w:val="20"/>
              </w:rPr>
              <w:br/>
              <w:t>14、防酸雾性能：对完全充电的电池以0.2 I10A的电流连续再充电4h,PH值应呈中性。      15、防伪：要求所供蓄电池的外壳或中盖的塑料件上需有公司品牌的防伪铭牌标记，可提供电话查询及二维码查访。16、三年原厂质保(需提供原厂盖章的针对本项目的质保函)。</w:t>
            </w:r>
          </w:p>
        </w:tc>
        <w:tc>
          <w:tcPr>
            <w:tcW w:w="669" w:type="dxa"/>
          </w:tcPr>
          <w:p w:rsidR="004C3114" w:rsidRDefault="004C3114">
            <w:pPr>
              <w:widowControl/>
              <w:jc w:val="center"/>
              <w:rPr>
                <w:rFonts w:ascii="宋体" w:eastAsia="宋体" w:hAnsi="宋体" w:cs="宋体" w:hint="eastAsia"/>
                <w:color w:val="000000"/>
                <w:kern w:val="0"/>
                <w:sz w:val="22"/>
              </w:rPr>
            </w:pPr>
          </w:p>
        </w:tc>
        <w:tc>
          <w:tcPr>
            <w:tcW w:w="546" w:type="dxa"/>
            <w:shd w:val="clear" w:color="auto" w:fill="auto"/>
            <w:noWrap/>
            <w:vAlign w:val="center"/>
          </w:tcPr>
          <w:p w:rsidR="004C3114" w:rsidRDefault="004C3114">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328</w:t>
            </w:r>
          </w:p>
        </w:tc>
        <w:tc>
          <w:tcPr>
            <w:tcW w:w="672" w:type="dxa"/>
            <w:shd w:val="clear" w:color="auto" w:fill="auto"/>
            <w:noWrap/>
            <w:vAlign w:val="center"/>
          </w:tcPr>
          <w:p w:rsidR="004C3114" w:rsidRDefault="004C3114">
            <w:pPr>
              <w:widowControl/>
              <w:jc w:val="center"/>
              <w:rPr>
                <w:rFonts w:ascii="宋体" w:eastAsia="宋体" w:hAnsi="宋体" w:cs="宋体"/>
                <w:color w:val="000000"/>
                <w:kern w:val="0"/>
                <w:sz w:val="22"/>
              </w:rPr>
            </w:pPr>
          </w:p>
        </w:tc>
        <w:tc>
          <w:tcPr>
            <w:tcW w:w="1196" w:type="dxa"/>
            <w:shd w:val="clear" w:color="auto" w:fill="auto"/>
            <w:noWrap/>
            <w:vAlign w:val="center"/>
          </w:tcPr>
          <w:p w:rsidR="004C3114" w:rsidRDefault="004C3114">
            <w:pPr>
              <w:widowControl/>
              <w:jc w:val="center"/>
              <w:rPr>
                <w:rFonts w:ascii="宋体" w:eastAsia="宋体" w:hAnsi="宋体" w:cs="宋体"/>
                <w:color w:val="000000"/>
                <w:kern w:val="0"/>
                <w:sz w:val="22"/>
              </w:rPr>
            </w:pPr>
          </w:p>
        </w:tc>
      </w:tr>
      <w:tr w:rsidR="004C3114" w:rsidTr="004C3114">
        <w:trPr>
          <w:trHeight w:val="3402"/>
        </w:trPr>
        <w:tc>
          <w:tcPr>
            <w:tcW w:w="685" w:type="dxa"/>
            <w:shd w:val="clear" w:color="auto" w:fill="auto"/>
            <w:noWrap/>
            <w:vAlign w:val="center"/>
          </w:tcPr>
          <w:p w:rsidR="004C3114" w:rsidRDefault="004C3114">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w:t>
            </w:r>
          </w:p>
        </w:tc>
        <w:tc>
          <w:tcPr>
            <w:tcW w:w="1646" w:type="dxa"/>
            <w:shd w:val="clear" w:color="auto" w:fill="auto"/>
            <w:noWrap/>
            <w:vAlign w:val="center"/>
          </w:tcPr>
          <w:p w:rsidR="004C3114" w:rsidRDefault="004C3114">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p w:rsidR="004C3114" w:rsidRDefault="004C3114">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（12V/120AH）</w:t>
            </w:r>
          </w:p>
        </w:tc>
        <w:tc>
          <w:tcPr>
            <w:tcW w:w="4440" w:type="dxa"/>
            <w:vMerge/>
            <w:shd w:val="clear" w:color="auto" w:fill="auto"/>
            <w:vAlign w:val="center"/>
          </w:tcPr>
          <w:p w:rsidR="004C3114" w:rsidRDefault="004C3114">
            <w:pPr>
              <w:widowControl/>
              <w:jc w:val="left"/>
              <w:rPr>
                <w:rFonts w:ascii="宋体" w:eastAsia="宋体" w:hAnsi="宋体" w:cs="宋体"/>
                <w:color w:val="000000"/>
                <w:kern w:val="0"/>
                <w:sz w:val="22"/>
              </w:rPr>
            </w:pPr>
          </w:p>
        </w:tc>
        <w:tc>
          <w:tcPr>
            <w:tcW w:w="669" w:type="dxa"/>
          </w:tcPr>
          <w:p w:rsidR="004C3114" w:rsidRDefault="004C3114">
            <w:pPr>
              <w:widowControl/>
              <w:jc w:val="center"/>
              <w:rPr>
                <w:rFonts w:ascii="宋体" w:eastAsia="宋体" w:hAnsi="宋体" w:cs="宋体" w:hint="eastAsia"/>
                <w:color w:val="000000"/>
                <w:kern w:val="0"/>
                <w:sz w:val="22"/>
              </w:rPr>
            </w:pPr>
          </w:p>
        </w:tc>
        <w:tc>
          <w:tcPr>
            <w:tcW w:w="546" w:type="dxa"/>
            <w:shd w:val="clear" w:color="auto" w:fill="auto"/>
            <w:noWrap/>
            <w:vAlign w:val="center"/>
          </w:tcPr>
          <w:p w:rsidR="004C3114" w:rsidRDefault="004C3114">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32</w:t>
            </w:r>
          </w:p>
        </w:tc>
        <w:tc>
          <w:tcPr>
            <w:tcW w:w="672" w:type="dxa"/>
            <w:shd w:val="clear" w:color="auto" w:fill="auto"/>
            <w:noWrap/>
            <w:vAlign w:val="center"/>
          </w:tcPr>
          <w:p w:rsidR="004C3114" w:rsidRDefault="004C3114">
            <w:pPr>
              <w:widowControl/>
              <w:jc w:val="center"/>
              <w:rPr>
                <w:rFonts w:ascii="宋体" w:eastAsia="宋体" w:hAnsi="宋体" w:cs="宋体"/>
                <w:color w:val="000000"/>
                <w:kern w:val="0"/>
                <w:sz w:val="22"/>
              </w:rPr>
            </w:pPr>
          </w:p>
        </w:tc>
        <w:tc>
          <w:tcPr>
            <w:tcW w:w="1196" w:type="dxa"/>
            <w:shd w:val="clear" w:color="auto" w:fill="auto"/>
            <w:noWrap/>
            <w:vAlign w:val="center"/>
          </w:tcPr>
          <w:p w:rsidR="004C3114" w:rsidRDefault="004C3114">
            <w:pPr>
              <w:widowControl/>
              <w:jc w:val="center"/>
              <w:rPr>
                <w:rFonts w:ascii="宋体" w:eastAsia="宋体" w:hAnsi="宋体" w:cs="宋体"/>
                <w:color w:val="000000"/>
                <w:kern w:val="0"/>
                <w:sz w:val="22"/>
              </w:rPr>
            </w:pPr>
          </w:p>
        </w:tc>
      </w:tr>
      <w:tr w:rsidR="004C3114" w:rsidTr="004C3114">
        <w:trPr>
          <w:cantSplit/>
          <w:trHeight w:val="3402"/>
        </w:trPr>
        <w:tc>
          <w:tcPr>
            <w:tcW w:w="685" w:type="dxa"/>
            <w:shd w:val="clear" w:color="auto" w:fill="auto"/>
            <w:noWrap/>
            <w:vAlign w:val="center"/>
          </w:tcPr>
          <w:p w:rsidR="004C3114" w:rsidRDefault="004C3114">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w:t>
            </w:r>
          </w:p>
        </w:tc>
        <w:tc>
          <w:tcPr>
            <w:tcW w:w="1646" w:type="dxa"/>
            <w:shd w:val="clear" w:color="auto" w:fill="auto"/>
            <w:noWrap/>
            <w:vAlign w:val="center"/>
          </w:tcPr>
          <w:p w:rsidR="004C3114" w:rsidRDefault="004C3114">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（12V/150AH）</w:t>
            </w:r>
          </w:p>
        </w:tc>
        <w:tc>
          <w:tcPr>
            <w:tcW w:w="4440" w:type="dxa"/>
            <w:vMerge/>
            <w:shd w:val="clear" w:color="auto" w:fill="auto"/>
            <w:vAlign w:val="center"/>
          </w:tcPr>
          <w:p w:rsidR="004C3114" w:rsidRDefault="004C3114">
            <w:pPr>
              <w:widowControl/>
              <w:jc w:val="left"/>
              <w:rPr>
                <w:rFonts w:ascii="宋体" w:eastAsia="宋体" w:hAnsi="宋体" w:cs="宋体"/>
                <w:color w:val="000000"/>
                <w:kern w:val="0"/>
                <w:sz w:val="22"/>
              </w:rPr>
            </w:pPr>
          </w:p>
        </w:tc>
        <w:tc>
          <w:tcPr>
            <w:tcW w:w="669" w:type="dxa"/>
          </w:tcPr>
          <w:p w:rsidR="004C3114" w:rsidRDefault="004C3114">
            <w:pPr>
              <w:widowControl/>
              <w:jc w:val="center"/>
              <w:rPr>
                <w:rFonts w:ascii="宋体" w:eastAsia="宋体" w:hAnsi="宋体" w:cs="宋体" w:hint="eastAsia"/>
                <w:color w:val="000000"/>
                <w:kern w:val="0"/>
                <w:sz w:val="22"/>
              </w:rPr>
            </w:pPr>
          </w:p>
        </w:tc>
        <w:tc>
          <w:tcPr>
            <w:tcW w:w="546" w:type="dxa"/>
            <w:shd w:val="clear" w:color="auto" w:fill="auto"/>
            <w:noWrap/>
            <w:vAlign w:val="center"/>
          </w:tcPr>
          <w:p w:rsidR="004C3114" w:rsidRDefault="004C3114">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64</w:t>
            </w:r>
          </w:p>
        </w:tc>
        <w:tc>
          <w:tcPr>
            <w:tcW w:w="672" w:type="dxa"/>
            <w:shd w:val="clear" w:color="auto" w:fill="auto"/>
            <w:noWrap/>
            <w:vAlign w:val="center"/>
          </w:tcPr>
          <w:p w:rsidR="004C3114" w:rsidRDefault="004C3114">
            <w:pPr>
              <w:widowControl/>
              <w:jc w:val="center"/>
              <w:rPr>
                <w:rFonts w:ascii="宋体" w:eastAsia="宋体" w:hAnsi="宋体" w:cs="宋体"/>
                <w:color w:val="000000"/>
                <w:kern w:val="0"/>
                <w:sz w:val="22"/>
              </w:rPr>
            </w:pPr>
          </w:p>
        </w:tc>
        <w:tc>
          <w:tcPr>
            <w:tcW w:w="1196" w:type="dxa"/>
            <w:shd w:val="clear" w:color="auto" w:fill="auto"/>
            <w:noWrap/>
            <w:vAlign w:val="center"/>
          </w:tcPr>
          <w:p w:rsidR="004C3114" w:rsidRDefault="004C3114">
            <w:pPr>
              <w:widowControl/>
              <w:jc w:val="center"/>
              <w:rPr>
                <w:rFonts w:ascii="宋体" w:eastAsia="宋体" w:hAnsi="宋体" w:cs="宋体"/>
                <w:color w:val="000000"/>
                <w:kern w:val="0"/>
                <w:sz w:val="22"/>
              </w:rPr>
            </w:pPr>
          </w:p>
        </w:tc>
      </w:tr>
      <w:tr w:rsidR="004C3114" w:rsidTr="004C3114">
        <w:trPr>
          <w:cantSplit/>
          <w:trHeight w:val="1684"/>
        </w:trPr>
        <w:tc>
          <w:tcPr>
            <w:tcW w:w="685" w:type="dxa"/>
            <w:shd w:val="clear" w:color="auto" w:fill="auto"/>
            <w:noWrap/>
            <w:vAlign w:val="center"/>
          </w:tcPr>
          <w:p w:rsidR="004C3114" w:rsidRDefault="004C3114">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w:t>
            </w:r>
          </w:p>
        </w:tc>
        <w:tc>
          <w:tcPr>
            <w:tcW w:w="1646" w:type="dxa"/>
            <w:shd w:val="clear" w:color="auto" w:fill="auto"/>
            <w:noWrap/>
            <w:vAlign w:val="center"/>
          </w:tcPr>
          <w:p w:rsidR="004C3114" w:rsidRDefault="004C3114">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（12V/38AH）</w:t>
            </w:r>
          </w:p>
        </w:tc>
        <w:tc>
          <w:tcPr>
            <w:tcW w:w="4440" w:type="dxa"/>
            <w:vMerge/>
            <w:shd w:val="clear" w:color="auto" w:fill="auto"/>
            <w:vAlign w:val="center"/>
          </w:tcPr>
          <w:p w:rsidR="004C3114" w:rsidRDefault="004C3114">
            <w:pPr>
              <w:widowControl/>
              <w:jc w:val="left"/>
              <w:rPr>
                <w:rFonts w:ascii="宋体" w:eastAsia="宋体" w:hAnsi="宋体" w:cs="宋体"/>
                <w:color w:val="000000"/>
                <w:kern w:val="0"/>
                <w:sz w:val="22"/>
              </w:rPr>
            </w:pPr>
          </w:p>
        </w:tc>
        <w:tc>
          <w:tcPr>
            <w:tcW w:w="669" w:type="dxa"/>
          </w:tcPr>
          <w:p w:rsidR="004C3114" w:rsidRDefault="004C3114">
            <w:pPr>
              <w:widowControl/>
              <w:jc w:val="center"/>
              <w:rPr>
                <w:rFonts w:ascii="宋体" w:eastAsia="宋体" w:hAnsi="宋体" w:cs="宋体" w:hint="eastAsia"/>
                <w:color w:val="000000"/>
                <w:kern w:val="0"/>
                <w:sz w:val="22"/>
              </w:rPr>
            </w:pPr>
          </w:p>
        </w:tc>
        <w:tc>
          <w:tcPr>
            <w:tcW w:w="546" w:type="dxa"/>
            <w:shd w:val="clear" w:color="auto" w:fill="auto"/>
            <w:noWrap/>
            <w:vAlign w:val="center"/>
          </w:tcPr>
          <w:p w:rsidR="004C3114" w:rsidRDefault="004C3114">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32</w:t>
            </w:r>
          </w:p>
        </w:tc>
        <w:tc>
          <w:tcPr>
            <w:tcW w:w="672" w:type="dxa"/>
            <w:shd w:val="clear" w:color="auto" w:fill="auto"/>
            <w:noWrap/>
            <w:vAlign w:val="center"/>
          </w:tcPr>
          <w:p w:rsidR="004C3114" w:rsidRDefault="004C3114">
            <w:pPr>
              <w:widowControl/>
              <w:jc w:val="center"/>
              <w:rPr>
                <w:rFonts w:ascii="宋体" w:eastAsia="宋体" w:hAnsi="宋体" w:cs="宋体"/>
                <w:color w:val="000000"/>
                <w:kern w:val="0"/>
                <w:sz w:val="22"/>
              </w:rPr>
            </w:pPr>
          </w:p>
        </w:tc>
        <w:tc>
          <w:tcPr>
            <w:tcW w:w="1196" w:type="dxa"/>
            <w:shd w:val="clear" w:color="auto" w:fill="auto"/>
            <w:noWrap/>
            <w:vAlign w:val="center"/>
          </w:tcPr>
          <w:p w:rsidR="004C3114" w:rsidRDefault="004C3114">
            <w:pPr>
              <w:widowControl/>
              <w:jc w:val="center"/>
              <w:rPr>
                <w:rFonts w:ascii="宋体" w:eastAsia="宋体" w:hAnsi="宋体" w:cs="宋体"/>
                <w:color w:val="000000"/>
                <w:kern w:val="0"/>
                <w:sz w:val="22"/>
              </w:rPr>
            </w:pPr>
          </w:p>
        </w:tc>
      </w:tr>
      <w:tr w:rsidR="004C3114" w:rsidTr="004C3114">
        <w:trPr>
          <w:trHeight w:val="478"/>
        </w:trPr>
        <w:tc>
          <w:tcPr>
            <w:tcW w:w="6771" w:type="dxa"/>
            <w:gridSpan w:val="3"/>
            <w:shd w:val="clear" w:color="auto" w:fill="auto"/>
            <w:noWrap/>
            <w:vAlign w:val="center"/>
          </w:tcPr>
          <w:p w:rsidR="004C3114" w:rsidRDefault="004C3114">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合计</w:t>
            </w:r>
          </w:p>
        </w:tc>
        <w:tc>
          <w:tcPr>
            <w:tcW w:w="3083" w:type="dxa"/>
            <w:gridSpan w:val="4"/>
            <w:shd w:val="clear" w:color="auto" w:fill="auto"/>
            <w:vAlign w:val="center"/>
          </w:tcPr>
          <w:p w:rsidR="004C3114" w:rsidRDefault="004C3114">
            <w:pPr>
              <w:widowControl/>
              <w:jc w:val="center"/>
              <w:rPr>
                <w:rFonts w:ascii="宋体" w:eastAsia="宋体" w:hAnsi="宋体" w:cs="宋体"/>
                <w:color w:val="000000"/>
                <w:kern w:val="0"/>
                <w:sz w:val="22"/>
              </w:rPr>
            </w:pPr>
          </w:p>
        </w:tc>
      </w:tr>
    </w:tbl>
    <w:p w:rsidR="000019BC" w:rsidRPr="00D14E6E" w:rsidRDefault="00CF4DC4" w:rsidP="00CF4DC4">
      <w:pPr>
        <w:rPr>
          <w:b/>
          <w:sz w:val="28"/>
          <w:szCs w:val="28"/>
        </w:rPr>
      </w:pPr>
      <w:r w:rsidRPr="00D14E6E">
        <w:rPr>
          <w:rFonts w:hint="eastAsia"/>
          <w:b/>
          <w:sz w:val="28"/>
          <w:szCs w:val="28"/>
        </w:rPr>
        <w:t>注：要求</w:t>
      </w:r>
      <w:r w:rsidR="000019BC" w:rsidRPr="00D14E6E">
        <w:rPr>
          <w:rFonts w:hint="eastAsia"/>
          <w:b/>
          <w:sz w:val="28"/>
          <w:szCs w:val="28"/>
        </w:rPr>
        <w:t>在</w:t>
      </w:r>
      <w:r w:rsidR="0008355E" w:rsidRPr="00D14E6E">
        <w:rPr>
          <w:rFonts w:hint="eastAsia"/>
          <w:b/>
          <w:sz w:val="28"/>
          <w:szCs w:val="28"/>
        </w:rPr>
        <w:t>收到</w:t>
      </w:r>
      <w:r w:rsidR="000019BC" w:rsidRPr="00D14E6E">
        <w:rPr>
          <w:rFonts w:hint="eastAsia"/>
          <w:b/>
          <w:sz w:val="28"/>
          <w:szCs w:val="28"/>
        </w:rPr>
        <w:t>院方</w:t>
      </w:r>
      <w:r w:rsidR="0008355E" w:rsidRPr="00D14E6E">
        <w:rPr>
          <w:rFonts w:hint="eastAsia"/>
          <w:b/>
          <w:sz w:val="28"/>
          <w:szCs w:val="28"/>
        </w:rPr>
        <w:t>抢修通知后，要求</w:t>
      </w:r>
      <w:r w:rsidR="0008355E" w:rsidRPr="00D14E6E">
        <w:rPr>
          <w:rFonts w:hint="eastAsia"/>
          <w:b/>
          <w:sz w:val="28"/>
          <w:szCs w:val="28"/>
        </w:rPr>
        <w:t>2</w:t>
      </w:r>
      <w:r w:rsidR="0008355E" w:rsidRPr="00D14E6E">
        <w:rPr>
          <w:rFonts w:hint="eastAsia"/>
          <w:b/>
          <w:sz w:val="28"/>
          <w:szCs w:val="28"/>
        </w:rPr>
        <w:t>小时内赶到医院。</w:t>
      </w:r>
    </w:p>
    <w:sectPr w:rsidR="000019BC" w:rsidRPr="00D14E6E" w:rsidSect="00A34C52">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158" w:rsidRDefault="00B37158" w:rsidP="00B964A7">
      <w:r>
        <w:separator/>
      </w:r>
    </w:p>
  </w:endnote>
  <w:endnote w:type="continuationSeparator" w:id="0">
    <w:p w:rsidR="00B37158" w:rsidRDefault="00B37158" w:rsidP="00B96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158" w:rsidRDefault="00B37158" w:rsidP="00B964A7">
      <w:r>
        <w:separator/>
      </w:r>
    </w:p>
  </w:footnote>
  <w:footnote w:type="continuationSeparator" w:id="0">
    <w:p w:rsidR="00B37158" w:rsidRDefault="00B37158" w:rsidP="00B964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B4576"/>
    <w:multiLevelType w:val="hybridMultilevel"/>
    <w:tmpl w:val="030A0B8A"/>
    <w:lvl w:ilvl="0" w:tplc="95E639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M5NzVlZmUyNjk4ZDVjN2M3ZGU2NjA0ZmNjYWRkNjEifQ=="/>
  </w:docVars>
  <w:rsids>
    <w:rsidRoot w:val="00032D25"/>
    <w:rsid w:val="000019BC"/>
    <w:rsid w:val="00004563"/>
    <w:rsid w:val="000142A1"/>
    <w:rsid w:val="00032D25"/>
    <w:rsid w:val="000405E7"/>
    <w:rsid w:val="00052939"/>
    <w:rsid w:val="00060E5D"/>
    <w:rsid w:val="00076EA2"/>
    <w:rsid w:val="0008355E"/>
    <w:rsid w:val="000D208E"/>
    <w:rsid w:val="001166B9"/>
    <w:rsid w:val="00164C4E"/>
    <w:rsid w:val="00187948"/>
    <w:rsid w:val="00212EA4"/>
    <w:rsid w:val="00220338"/>
    <w:rsid w:val="0025720C"/>
    <w:rsid w:val="00265CDF"/>
    <w:rsid w:val="0030083C"/>
    <w:rsid w:val="003030B9"/>
    <w:rsid w:val="00374C20"/>
    <w:rsid w:val="003D314F"/>
    <w:rsid w:val="00446A82"/>
    <w:rsid w:val="004A3D7F"/>
    <w:rsid w:val="004B348C"/>
    <w:rsid w:val="004B53AC"/>
    <w:rsid w:val="004C3114"/>
    <w:rsid w:val="005100C7"/>
    <w:rsid w:val="005171F4"/>
    <w:rsid w:val="00534729"/>
    <w:rsid w:val="00560859"/>
    <w:rsid w:val="00572465"/>
    <w:rsid w:val="00573D7B"/>
    <w:rsid w:val="0059402B"/>
    <w:rsid w:val="006402D3"/>
    <w:rsid w:val="00647C57"/>
    <w:rsid w:val="00654D05"/>
    <w:rsid w:val="00663044"/>
    <w:rsid w:val="00670D28"/>
    <w:rsid w:val="006B16FB"/>
    <w:rsid w:val="0073115C"/>
    <w:rsid w:val="00760715"/>
    <w:rsid w:val="007C459A"/>
    <w:rsid w:val="007E095F"/>
    <w:rsid w:val="007F0701"/>
    <w:rsid w:val="00803B03"/>
    <w:rsid w:val="008143B8"/>
    <w:rsid w:val="008649F4"/>
    <w:rsid w:val="00881D31"/>
    <w:rsid w:val="008860E9"/>
    <w:rsid w:val="0089680C"/>
    <w:rsid w:val="008A53FA"/>
    <w:rsid w:val="00916836"/>
    <w:rsid w:val="009169FB"/>
    <w:rsid w:val="00925883"/>
    <w:rsid w:val="009349E3"/>
    <w:rsid w:val="00941C50"/>
    <w:rsid w:val="0099164D"/>
    <w:rsid w:val="009E2D6A"/>
    <w:rsid w:val="009E72BB"/>
    <w:rsid w:val="00A34C52"/>
    <w:rsid w:val="00A7723D"/>
    <w:rsid w:val="00A961EE"/>
    <w:rsid w:val="00AF72A0"/>
    <w:rsid w:val="00B37158"/>
    <w:rsid w:val="00B83298"/>
    <w:rsid w:val="00B964A7"/>
    <w:rsid w:val="00BC07E1"/>
    <w:rsid w:val="00CA1871"/>
    <w:rsid w:val="00CE3DC2"/>
    <w:rsid w:val="00CF4DC4"/>
    <w:rsid w:val="00D14B61"/>
    <w:rsid w:val="00D14E6E"/>
    <w:rsid w:val="00D40270"/>
    <w:rsid w:val="00D65D09"/>
    <w:rsid w:val="00E05C47"/>
    <w:rsid w:val="00EA352B"/>
    <w:rsid w:val="00ED54BE"/>
    <w:rsid w:val="00EE279A"/>
    <w:rsid w:val="00F0212E"/>
    <w:rsid w:val="00F0374E"/>
    <w:rsid w:val="00F3132B"/>
    <w:rsid w:val="00F536CE"/>
    <w:rsid w:val="184D1CFF"/>
    <w:rsid w:val="390C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C5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A34C52"/>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A34C52"/>
    <w:pPr>
      <w:pBdr>
        <w:bottom w:val="single" w:sz="6" w:space="1" w:color="auto"/>
      </w:pBdr>
      <w:tabs>
        <w:tab w:val="center" w:pos="4153"/>
        <w:tab w:val="right" w:pos="8306"/>
      </w:tabs>
      <w:snapToGrid w:val="0"/>
      <w:jc w:val="center"/>
    </w:pPr>
    <w:rPr>
      <w:sz w:val="18"/>
      <w:szCs w:val="18"/>
    </w:rPr>
  </w:style>
  <w:style w:type="paragraph" w:styleId="a5">
    <w:name w:val="List Paragraph"/>
    <w:basedOn w:val="a"/>
    <w:uiPriority w:val="34"/>
    <w:qFormat/>
    <w:rsid w:val="00A34C52"/>
    <w:pPr>
      <w:ind w:firstLineChars="200" w:firstLine="420"/>
    </w:pPr>
  </w:style>
  <w:style w:type="character" w:customStyle="1" w:styleId="Char0">
    <w:name w:val="页眉 Char"/>
    <w:basedOn w:val="a0"/>
    <w:link w:val="a4"/>
    <w:uiPriority w:val="99"/>
    <w:semiHidden/>
    <w:qFormat/>
    <w:rsid w:val="00A34C52"/>
    <w:rPr>
      <w:sz w:val="18"/>
      <w:szCs w:val="18"/>
    </w:rPr>
  </w:style>
  <w:style w:type="character" w:customStyle="1" w:styleId="Char">
    <w:name w:val="页脚 Char"/>
    <w:basedOn w:val="a0"/>
    <w:link w:val="a3"/>
    <w:uiPriority w:val="99"/>
    <w:semiHidden/>
    <w:rsid w:val="00A34C5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1355900-CD7D-41D3-9AB5-B58652DE4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Pages>
  <Words>127</Words>
  <Characters>724</Characters>
  <Application>Microsoft Office Word</Application>
  <DocSecurity>0</DocSecurity>
  <Lines>6</Lines>
  <Paragraphs>1</Paragraphs>
  <ScaleCrop>false</ScaleCrop>
  <Company>微软公司</Company>
  <LinksUpToDate>false</LinksUpToDate>
  <CharactersWithSpaces>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xb21cn</cp:lastModifiedBy>
  <cp:revision>16</cp:revision>
  <cp:lastPrinted>2019-08-27T09:13:00Z</cp:lastPrinted>
  <dcterms:created xsi:type="dcterms:W3CDTF">2019-09-11T06:11:00Z</dcterms:created>
  <dcterms:modified xsi:type="dcterms:W3CDTF">2022-09-13T06:50:00Z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DCFB7DDA7EB64D9BAD86390DB1497111</vt:lpwstr>
  </property>
</Properties>
</file>