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附件：</w:t>
      </w:r>
    </w:p>
    <w:p>
      <w:pPr>
        <w:rPr>
          <w:rFonts w:hint="eastAsia" w:ascii="仿宋" w:hAnsi="仿宋" w:eastAsia="仿宋" w:cs="仿宋"/>
        </w:rPr>
      </w:pPr>
      <w:bookmarkStart w:id="0" w:name="_GoBack"/>
      <w:bookmarkEnd w:id="0"/>
      <w:r>
        <w:rPr>
          <w:rFonts w:hint="eastAsia" w:ascii="仿宋" w:hAnsi="仿宋" w:eastAsia="仿宋" w:cs="仿宋"/>
          <w:sz w:val="24"/>
        </w:rPr>
        <w:t>医院自律端以药品、耗材、医用设备为三大核心监管重点，构建全流程实时预警模型。在药品监管方面，动态监测新药准入、药品采购、药品使用等关键指标；在耗材监管方面，重点围绕耗材申请、耗材采购、耗材使用等情况；在医用设备监管方面，聚焦设备采购、实际使用效能等环节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监管场景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预警指标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预警逻辑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参考阈值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药品监管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新药申请量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监测各科室累计申请新药次数，科室在一个新药讨论周期内申请数量超医院规定限额，即触发预警。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以科室为单位，黄色预警：达到3次；红色预警：达到5次。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全院药品周转率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监测每月全院药品周转率（月药品消耗金额/月底药品库存金额），对周转率大小实施预警。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红色预警：小于1.0。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单品种药品使用金额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按抗菌药物、抗肿瘤药、重点监控合理用药药品、外配处方、新准入药品等药品单品种使用金额开展监测，依据环比增长率设定红、黄预警阈值，实现"科室—医疗组—医生"三级穿透。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黄色预警：使用金额环比增长30%-50%；红色预警：使用金额环比增长50%以上。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药品使用金额对比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结合医院管理实际，从科室、病区、医疗组、医生等维度对药品使用金额进行对比，按差异倍数设定红、黄预警阈值。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黄色预警：重点药品在科室医疗组平均使用数量差0.5倍以上至1倍以下；红色预警：重点药品在科室医疗组平均使用数量差1倍以上。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耗材监管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临采耗材申请数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按产品类别对临采耗材申请次数开展监测，超出医院限定即触发预警。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黄色预警：达到3次；红色预警：达到5次，同时建议临床科室提交耗材准入申请。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医用耗材领用金额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监测各科室医用耗材领用金额，对比前12个月月均值设置红、黄预警阈值。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黄色预警：领用金额增长30%-50%；红色预警：领用金额增长大于50%。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医用耗材使用金额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可结合医院管理实际，制定高值耗材及重点监控耗材目录，按高值耗材、重点监控耗材分类别开展监测，对比前12个月月均值或上年同期值增长率，设定红、黄预警阈值，实现"科室——医疗组——医生"三级穿透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黄色预警：使用金额增长30%-50%；红色预警：使用金额增长大于50%。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耗材供应商销售额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对耗材供应商月度销售额开展监测，对比前12个月月均值或上年同期值增长率设定红、黄预警阈值。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黄色预警：销售额增长30%-50%；红色预警：销售额增长大于50%。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临采耗材使用金额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对科室每月临采耗材使用金额开展监测，对比前12个月月均值增幅设定红、黄预警阈值。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黄色预警：使用金额增长30%-50%；红色预警：使用金额大于50%。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设备监管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设备采购情况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对医院医疗设备采购信息进行归集，涵盖设备名称、金额、品牌、型号等内容，从采购预算、中标供应商、中标价格进行分析。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结合医院管理实际，根据超预算采购、设备供应排名、同一供应商连续中标、采购价格高于全省平均水平等设置阈值。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设备使用情况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结合医院管理实际，对重点医用设备进行使用率监管（如大型设备、新购入设备等），每季度或每半年评估设备实际使用情况，对照科室预期使用率，按达标情况设置红、黄预警。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黄色预警：低于预期30%以内；红色预警：低于预期超过30%。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设备维修情况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可结合医院管理实际，归集医疗设备管理维修情况，设置逾期未巡检、逾期未计量、维保合同到期等监测指标。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1"/>
              </w:rPr>
              <w:t>黄色预警：逾期/超期1个月以上；红色预警：逾期/超期2个月以上。</w:t>
            </w:r>
          </w:p>
        </w:tc>
      </w:tr>
    </w:tbl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323278"/>
    <w:rsid w:val="3EFC4819"/>
    <w:rsid w:val="7AD5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480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2026-09-29T06:12:36Z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809EE784507849FEA2A58677177B9341</vt:lpwstr>
  </property>
</Properties>
</file>